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80" w:lineRule="exact"/>
        <w:jc w:val="center"/>
        <w:rPr>
          <w:rFonts w:ascii="楷体" w:hAnsi="楷体" w:eastAsia="楷体"/>
          <w:bCs/>
          <w:color w:val="000000"/>
          <w:sz w:val="36"/>
          <w:szCs w:val="36"/>
        </w:rPr>
      </w:pPr>
      <w:r>
        <w:rPr>
          <w:rFonts w:hint="eastAsia" w:ascii="楷体" w:hAnsi="楷体" w:eastAsia="楷体"/>
          <w:bCs/>
          <w:color w:val="000000"/>
          <w:sz w:val="36"/>
          <w:szCs w:val="36"/>
        </w:rPr>
        <w:t>管理体系审核记录表</w:t>
      </w:r>
    </w:p>
    <w:tbl>
      <w:tblPr>
        <w:tblStyle w:val="8"/>
        <w:tblW w:w="1470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1311"/>
        <w:gridCol w:w="10004"/>
        <w:gridCol w:w="15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1809" w:type="dxa"/>
            <w:vMerge w:val="restart"/>
            <w:vAlign w:val="center"/>
          </w:tcPr>
          <w:p>
            <w:pPr>
              <w:spacing w:before="120"/>
              <w:jc w:val="center"/>
              <w:rPr>
                <w:rFonts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过程与活动、</w:t>
            </w:r>
          </w:p>
          <w:p>
            <w:pPr>
              <w:jc w:val="center"/>
              <w:rPr>
                <w:rFonts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抽样计划</w:t>
            </w:r>
          </w:p>
        </w:tc>
        <w:tc>
          <w:tcPr>
            <w:tcW w:w="1311" w:type="dxa"/>
            <w:vMerge w:val="restart"/>
            <w:vAlign w:val="center"/>
          </w:tcPr>
          <w:p>
            <w:pPr>
              <w:rPr>
                <w:rFonts w:ascii="楷体" w:hAnsi="楷体" w:eastAsia="楷体"/>
                <w:sz w:val="21"/>
                <w:szCs w:val="21"/>
              </w:rPr>
            </w:pPr>
            <w:r>
              <w:rPr>
                <w:rFonts w:hint="eastAsia" w:ascii="楷体" w:hAnsi="楷体" w:eastAsia="楷体"/>
                <w:sz w:val="21"/>
                <w:szCs w:val="21"/>
              </w:rPr>
              <w:t>涉及条款</w:t>
            </w:r>
          </w:p>
        </w:tc>
        <w:tc>
          <w:tcPr>
            <w:tcW w:w="10004" w:type="dxa"/>
            <w:vAlign w:val="center"/>
          </w:tcPr>
          <w:p>
            <w:pPr>
              <w:rPr>
                <w:rFonts w:hint="default" w:ascii="楷体" w:hAnsi="楷体" w:eastAsia="楷体"/>
                <w:sz w:val="21"/>
                <w:szCs w:val="21"/>
                <w:lang w:val="en-US" w:eastAsia="zh-CN"/>
              </w:rPr>
            </w:pPr>
            <w:r>
              <w:rPr>
                <w:rFonts w:hint="eastAsia" w:ascii="楷体" w:hAnsi="楷体" w:eastAsia="楷体"/>
                <w:sz w:val="21"/>
                <w:szCs w:val="21"/>
              </w:rPr>
              <w:t>受审核部门：生产技术部    主管领导：张晓勇</w:t>
            </w:r>
            <w:r>
              <w:rPr>
                <w:rFonts w:hint="eastAsia" w:ascii="楷体" w:hAnsi="楷体" w:eastAsia="楷体"/>
                <w:sz w:val="21"/>
                <w:szCs w:val="21"/>
                <w:lang w:val="en-US" w:eastAsia="zh-CN"/>
              </w:rPr>
              <w:t xml:space="preserve">     </w:t>
            </w:r>
            <w:r>
              <w:rPr>
                <w:rFonts w:hint="eastAsia" w:ascii="楷体" w:hAnsi="楷体" w:eastAsia="楷体"/>
                <w:sz w:val="21"/>
                <w:szCs w:val="21"/>
              </w:rPr>
              <w:t xml:space="preserve">  陪同人员：陈美云</w:t>
            </w:r>
          </w:p>
        </w:tc>
        <w:tc>
          <w:tcPr>
            <w:tcW w:w="1585" w:type="dxa"/>
            <w:vMerge w:val="restart"/>
            <w:vAlign w:val="center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  <w:r>
              <w:rPr>
                <w:rFonts w:hint="eastAsia" w:ascii="楷体" w:hAnsi="楷体" w:eastAsia="楷体"/>
                <w:sz w:val="24"/>
                <w:szCs w:val="24"/>
              </w:rPr>
              <w:t>判定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9" w:hRule="atLeast"/>
        </w:trPr>
        <w:tc>
          <w:tcPr>
            <w:tcW w:w="1809" w:type="dxa"/>
            <w:vMerge w:val="continue"/>
            <w:vAlign w:val="center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  <w:tc>
          <w:tcPr>
            <w:tcW w:w="1311" w:type="dxa"/>
            <w:vMerge w:val="continue"/>
            <w:vAlign w:val="center"/>
          </w:tcPr>
          <w:p>
            <w:pPr>
              <w:rPr>
                <w:rFonts w:ascii="楷体" w:hAnsi="楷体" w:eastAsia="楷体"/>
                <w:sz w:val="21"/>
                <w:szCs w:val="21"/>
              </w:rPr>
            </w:pPr>
          </w:p>
        </w:tc>
        <w:tc>
          <w:tcPr>
            <w:tcW w:w="10004" w:type="dxa"/>
            <w:vAlign w:val="center"/>
          </w:tcPr>
          <w:p>
            <w:pPr>
              <w:spacing w:before="120" w:line="360" w:lineRule="auto"/>
              <w:rPr>
                <w:rFonts w:hint="eastAsia" w:ascii="楷体" w:hAnsi="楷体" w:eastAsia="楷体"/>
                <w:sz w:val="21"/>
                <w:szCs w:val="21"/>
                <w:lang w:eastAsia="zh-CN"/>
              </w:rPr>
            </w:pPr>
            <w:r>
              <w:rPr>
                <w:rFonts w:hint="eastAsia" w:ascii="楷体" w:hAnsi="楷体" w:eastAsia="楷体"/>
                <w:sz w:val="21"/>
                <w:szCs w:val="21"/>
              </w:rPr>
              <w:t>审核员：</w:t>
            </w:r>
            <w:r>
              <w:rPr>
                <w:rFonts w:hint="eastAsia" w:ascii="楷体" w:hAnsi="楷体" w:eastAsia="楷体"/>
                <w:sz w:val="21"/>
                <w:szCs w:val="21"/>
                <w:lang w:val="en-US" w:eastAsia="zh-CN"/>
              </w:rPr>
              <w:t>李俐</w:t>
            </w:r>
            <w:r>
              <w:rPr>
                <w:rFonts w:hint="eastAsia" w:ascii="楷体" w:hAnsi="楷体" w:eastAsia="楷体"/>
                <w:sz w:val="21"/>
                <w:szCs w:val="21"/>
              </w:rPr>
              <w:t xml:space="preserve">       审核时间：2020.07.0</w:t>
            </w:r>
            <w:r>
              <w:rPr>
                <w:rFonts w:hint="eastAsia" w:ascii="楷体" w:hAnsi="楷体" w:eastAsia="楷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585" w:type="dxa"/>
            <w:vMerge w:val="continue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Merge w:val="continue"/>
            <w:vAlign w:val="center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  <w:tc>
          <w:tcPr>
            <w:tcW w:w="1311" w:type="dxa"/>
            <w:vMerge w:val="continue"/>
            <w:vAlign w:val="center"/>
          </w:tcPr>
          <w:p>
            <w:pPr>
              <w:rPr>
                <w:rFonts w:ascii="楷体" w:hAnsi="楷体" w:eastAsia="楷体"/>
                <w:sz w:val="21"/>
                <w:szCs w:val="21"/>
              </w:rPr>
            </w:pPr>
          </w:p>
        </w:tc>
        <w:tc>
          <w:tcPr>
            <w:tcW w:w="10004" w:type="dxa"/>
            <w:vAlign w:val="center"/>
          </w:tcPr>
          <w:p>
            <w:pPr>
              <w:adjustRightInd w:val="0"/>
              <w:snapToGrid w:val="0"/>
              <w:spacing w:line="360" w:lineRule="auto"/>
              <w:ind w:right="105" w:rightChars="50"/>
              <w:textAlignment w:val="baseline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审核条款：</w:t>
            </w:r>
          </w:p>
          <w:p>
            <w:pPr>
              <w:snapToGrid w:val="0"/>
              <w:spacing w:line="360" w:lineRule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QMS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5.3组织的角色、职责和权限；6.2目标及其实现的策划； 7.1.5监视和测量资源；8.1运行策划和控制；8.3设计开发控制（或不适用时确认）；8.5.1生产和服务提供的控制；8.5.2标识和可追溯性；8.5.3顾客或外部供方的财产；8.5.4防护；8.5.5交付后的活动8.5.6更改控制；8.6产品和服务放行；8.7不合格输出的控制；</w:t>
            </w:r>
          </w:p>
          <w:p>
            <w:pPr>
              <w:snapToGrid w:val="0"/>
              <w:spacing w:line="360" w:lineRule="auto"/>
              <w:rPr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OHSMS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4.3.1危险源识别、评价和控制措施的确定；4.3.3目标与方案、4.4.6运行控制；4.4.7应急准备与响应</w:t>
            </w:r>
          </w:p>
        </w:tc>
        <w:tc>
          <w:tcPr>
            <w:tcW w:w="1585" w:type="dxa"/>
            <w:vMerge w:val="continue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组织的角色、职责和权限</w:t>
            </w:r>
          </w:p>
          <w:p>
            <w:pPr>
              <w:rPr>
                <w:rFonts w:hint="eastAsia" w:ascii="宋体" w:hAnsi="宋体" w:eastAsia="宋体" w:cs="宋体"/>
                <w:b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311" w:type="dxa"/>
            <w:vAlign w:val="top"/>
          </w:tcPr>
          <w:p>
            <w:pPr>
              <w:rPr>
                <w:rFonts w:hint="eastAsia"/>
              </w:rPr>
            </w:pPr>
          </w:p>
          <w:p>
            <w:pPr>
              <w:rPr>
                <w:rFonts w:hint="eastAsia"/>
              </w:rPr>
            </w:pP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Q5.3</w:t>
            </w:r>
          </w:p>
          <w:p>
            <w:pPr>
              <w:pStyle w:val="2"/>
              <w:rPr>
                <w:rFonts w:hint="eastAsia"/>
                <w:lang w:val="en-US" w:eastAsia="zh-CN"/>
              </w:rPr>
            </w:pPr>
            <w:r>
              <w:rPr>
                <w:rFonts w:hint="eastAsia" w:cs="Times New Roman"/>
                <w:b w:val="0"/>
                <w:bCs w:val="0"/>
                <w:kern w:val="2"/>
                <w:sz w:val="21"/>
                <w:szCs w:val="22"/>
                <w:lang w:val="en-US" w:eastAsia="zh-CN" w:bidi="ar-SA"/>
              </w:rPr>
              <w:t>S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  <w:lang w:val="en-US" w:eastAsia="zh-CN" w:bidi="ar-SA"/>
              </w:rPr>
              <w:t>4.4.1</w:t>
            </w:r>
          </w:p>
        </w:tc>
        <w:tc>
          <w:tcPr>
            <w:tcW w:w="10004" w:type="dxa"/>
            <w:vAlign w:val="top"/>
          </w:tcPr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查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eastAsia="zh-CN"/>
              </w:rPr>
              <w:t>生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产技术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eastAsia="zh-CN"/>
              </w:rPr>
              <w:t>部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主要工作职责：</w:t>
            </w:r>
          </w:p>
          <w:p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负责编制生产计划、组织产品实现过程的策划及实现；负责生产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eastAsia="zh-CN"/>
              </w:rPr>
              <w:t>设备的维护保养及管理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val="en-US" w:eastAsia="zh-CN"/>
              </w:rPr>
              <w:t>；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负责生产过程中产品质量的监控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val="en-US" w:eastAsia="zh-CN"/>
              </w:rPr>
              <w:t>；</w:t>
            </w:r>
            <w:r>
              <w:rPr>
                <w:rFonts w:hint="eastAsia" w:ascii="宋体" w:hAnsi="宋体" w:cs="宋体"/>
                <w:sz w:val="21"/>
                <w:szCs w:val="21"/>
                <w:lang w:bidi="ar"/>
              </w:rPr>
              <w:t>参与制定公司发展战略与年度经营计划； 负责现场安全管理； 组织落实、监督调控服务过程各项质量、安全、成本指标等；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 w:bidi="ar"/>
              </w:rPr>
              <w:t>负责</w:t>
            </w:r>
            <w:r>
              <w:rPr>
                <w:rFonts w:hint="eastAsia" w:ascii="宋体" w:hAnsi="宋体" w:cs="宋体"/>
                <w:sz w:val="21"/>
                <w:szCs w:val="21"/>
                <w:lang w:bidi="ar"/>
              </w:rPr>
              <w:t>管理基础设施维护，保证服务现场能够正常服务，设备处于良好状态；负责本部门危险源的识别评价和控制措施的实施；参与公司组织的应急演习、合规性评价</w:t>
            </w:r>
            <w:r>
              <w:rPr>
                <w:rFonts w:hint="eastAsia" w:ascii="宋体" w:hAnsi="宋体" w:cs="宋体"/>
                <w:sz w:val="21"/>
                <w:szCs w:val="21"/>
                <w:lang w:eastAsia="zh-CN" w:bidi="ar"/>
              </w:rPr>
              <w:t>。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部门岗位基本符合要求。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4" w:hRule="atLeast"/>
        </w:trPr>
        <w:tc>
          <w:tcPr>
            <w:tcW w:w="1809" w:type="dxa"/>
            <w:vAlign w:val="top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目标及其实现的策划</w:t>
            </w:r>
          </w:p>
        </w:tc>
        <w:tc>
          <w:tcPr>
            <w:tcW w:w="1311" w:type="dxa"/>
            <w:vAlign w:val="top"/>
          </w:tcPr>
          <w:p>
            <w:pPr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Q6.2</w:t>
            </w:r>
          </w:p>
        </w:tc>
        <w:tc>
          <w:tcPr>
            <w:tcW w:w="10004" w:type="dxa"/>
            <w:vAlign w:val="top"/>
          </w:tcPr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查，20</w:t>
            </w:r>
            <w:r>
              <w:rPr>
                <w:rFonts w:hint="eastAsia" w:ascii="宋体" w:hAnsi="宋体" w:cs="宋体"/>
                <w:color w:val="000000"/>
                <w:sz w:val="21"/>
                <w:szCs w:val="21"/>
                <w:lang w:val="en-US" w:eastAsia="zh-CN"/>
              </w:rPr>
              <w:t>19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年12月《部门质量目标完成情况统计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  <w:t>表》对部门目标进行考核，综合完成情况为：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 xml:space="preserve">1）设备完好率95%；            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  <w:t>实测：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>100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  <w:t>%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 xml:space="preserve">2）产品一次交检合格率≥99%；   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  <w:t>实测：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>100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  <w:t>%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 xml:space="preserve">3）计量器具完好率95%；         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  <w:t>实测：100%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eastAsia="zh-CN"/>
              </w:rPr>
              <w:t>。</w:t>
            </w:r>
          </w:p>
          <w:p>
            <w:pPr>
              <w:spacing w:line="400" w:lineRule="exact"/>
              <w:rPr>
                <w:rFonts w:hint="default" w:ascii="宋体" w:hAnsi="宋体" w:eastAsia="宋体" w:cs="宋体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highlight w:val="none"/>
                <w:lang w:val="en-US" w:eastAsia="zh-CN"/>
              </w:rPr>
              <w:t>4）</w:t>
            </w:r>
            <w:r>
              <w:rPr>
                <w:rFonts w:hint="eastAsia"/>
                <w:sz w:val="21"/>
                <w:szCs w:val="21"/>
                <w:highlight w:val="none"/>
              </w:rPr>
              <w:t>杜绝死亡事故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>和伤亡事故</w:t>
            </w:r>
            <w:r>
              <w:rPr>
                <w:rFonts w:hint="eastAsia" w:ascii="宋体" w:hAnsi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 xml:space="preserve">       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  <w:t>实测：</w:t>
            </w:r>
            <w:r>
              <w:rPr>
                <w:rFonts w:hint="eastAsia" w:ascii="宋体" w:hAnsi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eastAsia="zh-CN"/>
              </w:rPr>
              <w:t>。</w:t>
            </w:r>
          </w:p>
          <w:p>
            <w:pPr>
              <w:spacing w:line="400" w:lineRule="exact"/>
              <w:rPr>
                <w:rFonts w:hint="eastAsia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>5）火灾责任事故为零</w:t>
            </w:r>
            <w:r>
              <w:rPr>
                <w:rFonts w:hint="eastAsia" w:ascii="宋体" w:hAnsi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 xml:space="preserve">             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</w:rPr>
              <w:t>实测：</w:t>
            </w:r>
            <w:r>
              <w:rPr>
                <w:rFonts w:hint="eastAsia" w:ascii="宋体" w:hAnsi="宋体" w:cs="宋体"/>
                <w:color w:val="000000"/>
                <w:sz w:val="21"/>
                <w:szCs w:val="21"/>
                <w:highlight w:val="none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highlight w:val="none"/>
                <w:lang w:eastAsia="zh-CN"/>
              </w:rPr>
              <w:t>。</w:t>
            </w:r>
          </w:p>
          <w:p>
            <w:pP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基本达到目标要求。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1809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监视和测量资源</w:t>
            </w:r>
          </w:p>
        </w:tc>
        <w:tc>
          <w:tcPr>
            <w:tcW w:w="1311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Q7.1.5</w:t>
            </w:r>
          </w:p>
        </w:tc>
        <w:tc>
          <w:tcPr>
            <w:tcW w:w="10004" w:type="dxa"/>
            <w:vAlign w:val="top"/>
          </w:tcPr>
          <w:p>
            <w:pPr>
              <w:spacing w:line="400" w:lineRule="exac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查《监视和测量设备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台帐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》生产车间及检验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人员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均按策划的要求配置了相应的检测设备，其中包括：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千分尺、游标卡尺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、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压力表等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。，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提供有千分尺、游标卡尺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、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压力表等的检定证书，见附件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1809" w:type="dxa"/>
            <w:vAlign w:val="top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运行策划和控制</w:t>
            </w:r>
          </w:p>
        </w:tc>
        <w:tc>
          <w:tcPr>
            <w:tcW w:w="1311" w:type="dxa"/>
            <w:vAlign w:val="top"/>
          </w:tcPr>
          <w:p>
            <w:pP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Q8.1 </w:t>
            </w:r>
          </w:p>
        </w:tc>
        <w:tc>
          <w:tcPr>
            <w:tcW w:w="10004" w:type="dxa"/>
            <w:vAlign w:val="top"/>
          </w:tcPr>
          <w:p>
            <w:pPr>
              <w:spacing w:line="360" w:lineRule="auto"/>
              <w:rPr>
                <w:rFonts w:hint="eastAsia" w:ascii="宋体" w:hAnsi="宋体" w:eastAsia="宋体" w:cs="宋体"/>
                <w:color w:val="000000"/>
                <w:sz w:val="21"/>
                <w:szCs w:val="21"/>
                <w:shd w:val="clear" w:color="auto" w:fill="FFFFFF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公司主要生产产品：主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要生产电机的定转子铁芯（冲片）、转子铸铝件生产。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公司产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品执行标准主要为：一般公差 未注公差的线性和角度尺寸的公差GB/T 1804-2000和客户提供的图纸及要求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生产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。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生产技术部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负责产品实现和服务提供的策划，策划输出的具体结果包括以下内容：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a）确定产品和服务的要求；--产品标准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b）建立过程准则以及产品和服务的接收准则；---检验标准、作业指导书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c）确定符合产品和服务要求的资源；---工艺流程图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d）按照准则实施过程控制；---生产和服务过程监控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e）保持、保留必要的文件和记录。---文件和质量记录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---策划输出经过评审及跟进、必要的更改控制及批准等以适合组织的运行需要。</w:t>
            </w:r>
          </w:p>
          <w:p>
            <w:pPr>
              <w:adjustRightInd w:val="0"/>
              <w:snapToGrid w:val="0"/>
              <w:spacing w:line="360" w:lineRule="auto"/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----需确认/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关键工序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冲片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冲压、转子铸铝。</w:t>
            </w:r>
          </w:p>
          <w:p>
            <w:pPr>
              <w:adjustRightInd w:val="0"/>
              <w:snapToGrid w:val="0"/>
              <w:spacing w:line="360" w:lineRule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----外包过程：无</w:t>
            </w:r>
          </w:p>
          <w:p>
            <w:pPr>
              <w:spacing w:line="360" w:lineRule="auto"/>
              <w:rPr>
                <w:rFonts w:hint="eastAsia" w:ascii="宋体" w:hAnsi="宋体" w:eastAsia="宋体" w:cs="宋体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----经确认：暂无策划的更改。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设计和开发策划</w:t>
            </w:r>
          </w:p>
        </w:tc>
        <w:tc>
          <w:tcPr>
            <w:tcW w:w="1311" w:type="dxa"/>
            <w:vAlign w:val="top"/>
          </w:tcPr>
          <w:p>
            <w:pPr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Q8.3</w:t>
            </w:r>
          </w:p>
        </w:tc>
        <w:tc>
          <w:tcPr>
            <w:tcW w:w="10004" w:type="dxa"/>
            <w:vAlign w:val="top"/>
          </w:tcPr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 w:val="21"/>
                <w:szCs w:val="21"/>
                <w:highlight w:val="none"/>
                <w:lang w:eastAsia="zh-CN"/>
              </w:rPr>
              <w:t>生产</w:t>
            </w:r>
            <w:r>
              <w:rPr>
                <w:rFonts w:hint="eastAsia" w:ascii="宋体" w:hAnsi="宋体"/>
                <w:sz w:val="21"/>
                <w:szCs w:val="21"/>
                <w:highlight w:val="none"/>
              </w:rPr>
              <w:t>的</w:t>
            </w:r>
            <w:r>
              <w:rPr>
                <w:rFonts w:hint="eastAsia" w:ascii="宋体" w:hAnsi="宋体"/>
                <w:sz w:val="21"/>
                <w:szCs w:val="21"/>
                <w:highlight w:val="none"/>
                <w:lang w:eastAsia="zh-CN"/>
              </w:rPr>
              <w:t>产品</w:t>
            </w:r>
            <w:r>
              <w:rPr>
                <w:rFonts w:hint="eastAsia" w:ascii="宋体" w:hAnsi="宋体"/>
                <w:sz w:val="21"/>
                <w:szCs w:val="21"/>
                <w:highlight w:val="none"/>
              </w:rPr>
              <w:t>按顾客要求</w:t>
            </w:r>
            <w:r>
              <w:rPr>
                <w:rFonts w:hint="eastAsia" w:ascii="宋体" w:hAnsi="宋体"/>
                <w:sz w:val="21"/>
                <w:szCs w:val="21"/>
                <w:highlight w:val="none"/>
                <w:lang w:eastAsia="zh-CN"/>
              </w:rPr>
              <w:t>及相关产品标准</w:t>
            </w:r>
            <w:r>
              <w:rPr>
                <w:rFonts w:hint="eastAsia" w:ascii="宋体" w:hAnsi="宋体"/>
                <w:sz w:val="21"/>
                <w:szCs w:val="21"/>
                <w:highlight w:val="none"/>
              </w:rPr>
              <w:t>进行生产，生产工艺成熟</w:t>
            </w:r>
            <w:r>
              <w:rPr>
                <w:rFonts w:hint="eastAsia" w:ascii="宋体" w:hAnsi="宋体"/>
                <w:sz w:val="21"/>
                <w:szCs w:val="21"/>
                <w:highlight w:val="none"/>
                <w:lang w:eastAsia="zh-CN"/>
              </w:rPr>
              <w:t>。</w:t>
            </w:r>
            <w:r>
              <w:rPr>
                <w:rFonts w:hint="eastAsia" w:ascii="宋体" w:hAnsi="宋体"/>
                <w:sz w:val="21"/>
                <w:szCs w:val="21"/>
                <w:highlight w:val="none"/>
              </w:rPr>
              <w:t>整个</w:t>
            </w:r>
            <w:r>
              <w:rPr>
                <w:rFonts w:hint="eastAsia" w:ascii="宋体" w:hAnsi="宋体"/>
                <w:sz w:val="21"/>
                <w:szCs w:val="21"/>
                <w:highlight w:val="none"/>
                <w:lang w:eastAsia="zh-CN"/>
              </w:rPr>
              <w:t>生产</w:t>
            </w:r>
            <w:r>
              <w:rPr>
                <w:rFonts w:hint="eastAsia" w:ascii="宋体" w:hAnsi="宋体"/>
                <w:sz w:val="21"/>
                <w:szCs w:val="21"/>
                <w:highlight w:val="none"/>
              </w:rPr>
              <w:t>过程不涉及设计新</w:t>
            </w:r>
            <w:r>
              <w:rPr>
                <w:rFonts w:hint="eastAsia" w:ascii="宋体" w:hAnsi="宋体"/>
                <w:sz w:val="21"/>
                <w:szCs w:val="21"/>
                <w:highlight w:val="none"/>
                <w:lang w:eastAsia="zh-CN"/>
              </w:rPr>
              <w:t>产品</w:t>
            </w:r>
            <w:r>
              <w:rPr>
                <w:rFonts w:hint="eastAsia" w:ascii="宋体" w:hAnsi="宋体"/>
                <w:sz w:val="21"/>
                <w:szCs w:val="21"/>
                <w:highlight w:val="none"/>
              </w:rPr>
              <w:t>的内容，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8.3不适用，理由合理。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生产和服务提供的控制</w:t>
            </w:r>
          </w:p>
          <w:p>
            <w:pPr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1311" w:type="dxa"/>
            <w:vAlign w:val="top"/>
          </w:tcPr>
          <w:p>
            <w:pPr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8.5.1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0004" w:type="dxa"/>
            <w:vAlign w:val="top"/>
          </w:tcPr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公司制定了《生产和服务提供控制程序》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1、查生产车间及作业工位执行的作业指导书主要包括：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落料工序工艺指导书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、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冲槽工艺指导书、压力铸铝（转子）生产作业指导书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等。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相应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工位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都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放置相应的作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业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指导书。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3.现场查看：现场有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冲床、铸铝压机、车床、磨床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等生产相关设备，工作正常，状态良好，无异常现象，符合产品的生产的条件及要求。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4.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公司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配置了相应的检测设备，主要为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  <w:lang w:val="en-US" w:eastAsia="zh-CN"/>
              </w:rPr>
              <w:t>游标卡尺</w:t>
            </w:r>
            <w:r>
              <w:rPr>
                <w:rFonts w:hint="eastAsia" w:ascii="宋体" w:hAnsi="宋体" w:eastAsia="宋体" w:cs="宋体"/>
                <w:color w:val="000000"/>
                <w:sz w:val="21"/>
                <w:szCs w:val="21"/>
              </w:rPr>
              <w:t>、</w:t>
            </w:r>
            <w:r>
              <w:rPr>
                <w:rFonts w:hint="eastAsia" w:ascii="宋体" w:hAnsi="宋体"/>
                <w:color w:val="auto"/>
                <w:sz w:val="21"/>
                <w:szCs w:val="21"/>
                <w:highlight w:val="none"/>
                <w:lang w:val="en-US" w:eastAsia="zh-CN"/>
              </w:rPr>
              <w:t>千分尺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等。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5.负责人讲年生产计划工作天数3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0，计划年产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量定子铁芯10万、转子铁芯5万件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左右。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出示了《生产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计划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单》 明确的产品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 xml:space="preserve">规格 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、数量、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价格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等内容。</w:t>
            </w:r>
          </w:p>
          <w:p>
            <w:pPr>
              <w:numPr>
                <w:ilvl w:val="0"/>
                <w:numId w:val="1"/>
              </w:num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定、转子铁芯（冲片）生产工艺流程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落料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----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冲槽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----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检验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----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打包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，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冲槽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过程为关键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工序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2、转子铸铝生产工艺流程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压片----铸铝-----整理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----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检验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----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包装、入库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。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铸铝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过程为关键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过程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查看现场：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生产现场观察，现场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定子、转子铁芯（冲片）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生产过程：</w:t>
            </w: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FF0000"/>
                <w:sz w:val="21"/>
                <w:szCs w:val="21"/>
                <w:lang w:val="en-US" w:eastAsia="zh-CN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455295</wp:posOffset>
                  </wp:positionH>
                  <wp:positionV relativeFrom="paragraph">
                    <wp:posOffset>-230505</wp:posOffset>
                  </wp:positionV>
                  <wp:extent cx="1654175" cy="2210435"/>
                  <wp:effectExtent l="0" t="0" r="12065" b="9525"/>
                  <wp:wrapNone/>
                  <wp:docPr id="9" name="图片 9" descr="扫描全能王 2020-07-05 06.15.00_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扫描全能王 2020-07-05 06.15.00_2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654175" cy="2210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color w:val="FF0000"/>
                <w:sz w:val="21"/>
                <w:szCs w:val="21"/>
                <w:lang w:val="en-US" w:eastAsia="zh-CN"/>
              </w:rPr>
            </w:pP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color w:val="FF0000"/>
                <w:sz w:val="21"/>
                <w:szCs w:val="21"/>
                <w:lang w:val="en-US" w:eastAsia="zh-CN"/>
              </w:rPr>
            </w:pP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color w:val="FF0000"/>
                <w:sz w:val="21"/>
                <w:szCs w:val="21"/>
                <w:lang w:val="en-US" w:eastAsia="zh-CN"/>
              </w:rPr>
            </w:pP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color w:val="FF0000"/>
                <w:sz w:val="21"/>
                <w:szCs w:val="21"/>
                <w:lang w:val="en-US" w:eastAsia="zh-CN"/>
              </w:rPr>
            </w:pP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color w:val="FF0000"/>
                <w:sz w:val="21"/>
                <w:szCs w:val="21"/>
                <w:lang w:val="en-US" w:eastAsia="zh-CN"/>
              </w:rPr>
            </w:pP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color w:val="FF0000"/>
                <w:sz w:val="21"/>
                <w:szCs w:val="21"/>
                <w:lang w:val="en-US" w:eastAsia="zh-CN"/>
              </w:rPr>
            </w:pP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1、落料工序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：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a)工作操作要求：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落料工序工艺指导书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b)生产设备：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冲床（63T）、模具（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模具由客户提供,按顾客财产进行管理、状态完好）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c)操作要求：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按生产任务单和产品图纸领取模具（落料模）和待加工卷料，检查模具是否完好，有无损伤，确认无误后，将模具安装调试合格，将卷料装在自动送料机上，员工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姚志娟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启动冲床进行落料加工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样（首）件经检验员检验确认合格后，再批量生产。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操作工采用戴手套和耳塞进行安全防护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落料尺寸：φ210</w:t>
            </w:r>
            <w:r>
              <w:rPr>
                <w:rFonts w:hint="eastAsia" w:ascii="宋体" w:hAnsi="宋体" w:eastAsia="宋体" w:cs="宋体"/>
                <w:position w:val="-12"/>
                <w:sz w:val="21"/>
                <w:szCs w:val="21"/>
                <w:lang w:val="en-US" w:eastAsia="zh-CN"/>
              </w:rPr>
              <w:object>
                <v:shape id="_x0000_i1037" o:spt="75" alt="" type="#_x0000_t75" style="height:19pt;width:24pt;" o:ole="t" filled="f" o:preferrelative="t" stroked="f" coordsize="21600,21600">
                  <v:path/>
                  <v:fill on="f" focussize="0,0"/>
                  <v:stroke on="f"/>
                  <v:imagedata r:id="rId8" o:title=""/>
                  <o:lock v:ext="edit" aspectratio="t"/>
                  <w10:wrap type="none"/>
                  <w10:anchorlock/>
                </v:shape>
                <o:OLEObject Type="Embed" ProgID="Equation.KSEE3" ShapeID="_x0000_i1037" DrawAspect="Content" ObjectID="_1468075725" r:id="rId7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*φ1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48</w:t>
            </w:r>
            <w:r>
              <w:rPr>
                <w:rFonts w:hint="eastAsia" w:ascii="宋体" w:hAnsi="宋体" w:eastAsia="宋体" w:cs="宋体"/>
                <w:position w:val="-12"/>
                <w:sz w:val="21"/>
                <w:szCs w:val="21"/>
                <w:lang w:val="en-US" w:eastAsia="zh-CN"/>
              </w:rPr>
              <w:object>
                <v:shape id="_x0000_i1039" o:spt="75" alt="" type="#_x0000_t75" style="height:19pt;width:23pt;" o:ole="t" filled="f" o:preferrelative="t" stroked="f" coordsize="21600,21600">
                  <v:path/>
                  <v:fill on="f" focussize="0,0"/>
                  <v:stroke on="f"/>
                  <v:imagedata r:id="rId10" o:title=""/>
                  <o:lock v:ext="edit" aspectratio="t"/>
                  <w10:wrap type="none"/>
                  <w10:anchorlock/>
                </v:shape>
                <o:OLEObject Type="Embed" ProgID="Equation.KSEE3" ShapeID="_x0000_i1039" DrawAspect="Content" ObjectID="_1468075726" r:id="rId9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*0.5，现场查看尺寸符合要求。</w:t>
            </w: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d)  监视和测量：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加工过程中分时段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监控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冲压产品尺寸及外观质量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，是否正常，如有异常重新调整冲床或落料模具，必要时报告模具维修工或生产负责人，确保证冲片生产处于可控状态。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操作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者为熟练操作工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、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冲槽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工序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a)工作操作要求：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冲槽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工序工艺指导书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b)生产设备：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冲床（110T）、模具（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模具由客户提供,按顾客财产进行管理、状态完好）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）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c)操作要求：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按生产任务单和产品图纸领取模具（落料模）和待加工物料，检查模具是否完好，有无损伤，确认无误后，将模具安装调试合格，员工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杨胜还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、羌志平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启动冲床进行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冲槽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加工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样件经检验员检验确认合格后，再批量生产。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操作工采用戴手套和耳塞进行安全防护。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冲槽尺寸：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val="en-US" w:eastAsia="zh-CN"/>
              </w:rPr>
              <w:t>2.8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（槽口）、槽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val="en-US" w:eastAsia="zh-CN"/>
              </w:rPr>
              <w:t>高16.5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、槽数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val="en-US" w:eastAsia="zh-CN"/>
              </w:rPr>
              <w:t>48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，现场查看尺寸符合要求。</w:t>
            </w: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d)  监视和测量：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加工过程中分时段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监控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冲压产品尺寸及外观质量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，是否正常，如有异常重新调整冲床或落料模具，必要时报告模具维修工或生产负责人，确保证冲片生产处于可控状态。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操作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者为熟练操作工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、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检验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工序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a)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检验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要求：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检验规范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；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b)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检验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设备：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千分尺、游标卡尺。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c) 操作：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加工好冲片按产品图和检验规范进行，具体测试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槽口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槽底直径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、槽数、外观质量等，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现场查看检验项目与检验规范要求一致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检验员：王云倩。检验人员对产品熟悉，操作流程熟练。检验员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采用戴手套和耳塞进行安全防护。</w:t>
            </w:r>
          </w:p>
          <w:p>
            <w:pPr>
              <w:ind w:firstLine="420" w:firstLineChars="200"/>
              <w:jc w:val="left"/>
              <w:rPr>
                <w:rFonts w:hint="eastAsia" w:ascii="宋体" w:hAnsi="宋体" w:eastAsia="宋体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sz w:val="21"/>
                <w:szCs w:val="21"/>
                <w:highlight w:val="none"/>
                <w:lang w:val="en-US" w:eastAsia="zh-CN"/>
              </w:rPr>
              <w:t>4、打包工序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a)工作操作要求：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作业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工艺指导书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；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b)生产设备：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木托盘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3619500</wp:posOffset>
                  </wp:positionH>
                  <wp:positionV relativeFrom="paragraph">
                    <wp:posOffset>97155</wp:posOffset>
                  </wp:positionV>
                  <wp:extent cx="1527810" cy="2137410"/>
                  <wp:effectExtent l="0" t="0" r="8890" b="8890"/>
                  <wp:wrapNone/>
                  <wp:docPr id="10" name="图片 10" descr="扫描全能王 2020-07-05 06.15.00_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扫描全能王 2020-07-05 06.15.00_2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527810" cy="2137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c)操作：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将检验合格的定子铁芯按客户要求打包、转子放在托盘上，并标识产品的材质、型号，数量转入下一工序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。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员工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采用戴手套和耳塞进行安全防护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d)现场查看操作者为熟练操作工：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何学明。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400" w:lineRule="exact"/>
              <w:ind w:leftChars="0" w:firstLine="210" w:firstLineChars="1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生产现场观察，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转子铸铝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生产过程</w:t>
            </w:r>
          </w:p>
          <w:p>
            <w:pPr>
              <w:pStyle w:val="3"/>
              <w:ind w:left="0" w:leftChars="0" w:firstLine="0" w:firstLineChars="0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（转子）铸铝</w:t>
            </w:r>
            <w:r>
              <w:rPr>
                <w:rFonts w:hint="eastAsia" w:ascii="宋体" w:hAnsi="宋体"/>
                <w:sz w:val="21"/>
                <w:szCs w:val="21"/>
                <w:highlight w:val="none"/>
                <w:lang w:val="en-US" w:eastAsia="zh-CN"/>
              </w:rPr>
              <w:t>工序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：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a)工作操作要求：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作业指导书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b)生产设备：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铸铝压机、</w:t>
            </w:r>
            <w:r>
              <w:rPr>
                <w:rFonts w:hint="eastAsia" w:ascii="宋体" w:hAnsi="宋体"/>
                <w:sz w:val="24"/>
                <w:szCs w:val="24"/>
              </w:rPr>
              <w:t>熔炼炉</w:t>
            </w:r>
            <w:r>
              <w:rPr>
                <w:rFonts w:hint="eastAsia" w:ascii="宋体" w:hAnsi="宋体"/>
                <w:sz w:val="24"/>
                <w:szCs w:val="24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模具（模具由客户提供,按顾客财产进行管理、状态完好）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c)操作要求：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）熔铝：员工严青青、严锦洋（熟练工）根据要求加入AL99.70合金铝锭，升温到700度时，用捞渣勺将液面的渣料清除干净，静置10-15分钟铸铝；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）压铸：</w:t>
            </w:r>
            <w:r>
              <w:rPr>
                <w:rFonts w:hint="eastAsia" w:ascii="宋体" w:hAnsi="宋体"/>
                <w:sz w:val="24"/>
                <w:szCs w:val="24"/>
              </w:rPr>
              <w:t>操作工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宋荣荣、毛汉进将叠压加热好的转子铁心放入压铸模内；依据技术人员的设定进行操作，先喷脱模剂、关闭操作门、浇入铝合金熔液、启动压铸开关，自动打开后取件。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控制参数：温度670-700度，保压时间：20s，增压17MPa,系统压力14MPa，压铸机油温55度。员工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val="en-US" w:eastAsia="zh-CN"/>
              </w:rPr>
              <w:t>采用戴口罩和手套进行安全防护。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公司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关健过程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确定为：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铸铝、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冲压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。制定了《生产和服务提供控制程序》，对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关健过程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的管理进行了规定。通过产品检验和配备有能力的员工实施生产，对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关健工序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的质量予以控制，并采取以下方式予以确认：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查见：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对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冲片冲压、转子铸铝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过程的作业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指导书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、设备及操作人员能力进行了确认。使用的设备进行了维护和保养，状态良好，该工序的员工需经公司培训合格后上岗。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抽20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20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年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月对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转子铸铝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工序的《过程能力确认表》 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设备鉴定：设备正常，均进行了日常保养，能满足要求。  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落料工序工艺指导书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、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冲槽工艺指导书、压力铸铝（转子）生产作业指导书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</w:rPr>
              <w:t>等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工艺参数鉴定：按照《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落料工序工艺指导书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》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和《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压力铸铝（转子）生产作业指导书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的规定进行。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人员鉴定：人员进行了培训，并考评合格。  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批准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人：</w:t>
            </w:r>
            <w:r>
              <w:rPr>
                <w:rFonts w:hint="eastAsia" w:ascii="宋体" w:hAnsi="宋体" w:eastAsia="宋体" w:cs="宋体"/>
                <w:sz w:val="21"/>
                <w:szCs w:val="21"/>
                <w:highlight w:val="none"/>
                <w:lang w:val="en-US" w:eastAsia="zh-CN"/>
              </w:rPr>
              <w:t>朱卫平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整个过程基本受控；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spacing w:line="400" w:lineRule="atLeas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标识及可追溯性</w:t>
            </w:r>
          </w:p>
        </w:tc>
        <w:tc>
          <w:tcPr>
            <w:tcW w:w="1311" w:type="dxa"/>
            <w:vAlign w:val="top"/>
          </w:tcPr>
          <w:p>
            <w:pPr>
              <w:spacing w:line="400" w:lineRule="atLeast"/>
              <w:ind w:right="-158" w:rightChars="-75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8.5.2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0004" w:type="dxa"/>
            <w:vAlign w:val="top"/>
          </w:tcPr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查《质量手册》，公司质量体系对产品、检验状态进行了规定，标识的方法采用标牌、记录等。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.现场观察：原材料采用“标识牌”进行标识，牌上注明“原材料名称”、“供应商”等内容；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.生产过程用采用检验记录进行标识；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.产品检验状态采用：对产品等级进行标识；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.生产记录对质检员、生产日期以及使用的原料等进行了记录，能做到追溯的目的。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顾客或外部供方的财产</w:t>
            </w:r>
          </w:p>
        </w:tc>
        <w:tc>
          <w:tcPr>
            <w:tcW w:w="1311" w:type="dxa"/>
            <w:vAlign w:val="top"/>
          </w:tcPr>
          <w:p>
            <w:pPr>
              <w:spacing w:line="400" w:lineRule="atLeast"/>
              <w:ind w:right="-158" w:rightChars="-75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8.5.3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0004" w:type="dxa"/>
            <w:vAlign w:val="top"/>
          </w:tcPr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公司的顾客的财产有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顾客提供的模具、材料、图纸等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，公司对顾客或外部供方财产进行了保存，当顾客或外部供方财产丢失时，应告知顾客或外部供方。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负责人讲目前没有发生顾客或外部供方财产丢失的情况；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spacing w:line="400" w:lineRule="exac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防护</w:t>
            </w:r>
          </w:p>
        </w:tc>
        <w:tc>
          <w:tcPr>
            <w:tcW w:w="1311" w:type="dxa"/>
            <w:vAlign w:val="top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8.5.4</w:t>
            </w:r>
          </w:p>
        </w:tc>
        <w:tc>
          <w:tcPr>
            <w:tcW w:w="10004" w:type="dxa"/>
            <w:vAlign w:val="top"/>
          </w:tcPr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查，公司质量体系对产品的防护进行了规范，包括：标识、搬运、储存等保护措施。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现场观察: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1.标识：工序及交付的产品均采用标识卡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或单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进行了标识；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2.搬运：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产品在托盘上或铁箱内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采用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叉车搬运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，未见有损产品质量的野蛮作业。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3.贮存：公司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生产技术部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门有专门的仓库，各种原材料、在制品、成品均贮存在恰当的场所，通风、采光、防潮，条件良好。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4.查：产品入库，验收、保管有相应的管理程序。有仓库管理员职责、出入库纪录；入库有检验。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5.库房分区清楚，原料、半成品、成品均分别摆放在不同区域，并加以明显的标识。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6.现场检查，车间及仓库，各类物资均分类存放，标识明显。消防设施齐全，并在有效期内。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基本符合要求。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spacing w:line="400" w:lineRule="exac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交付后活动</w:t>
            </w:r>
          </w:p>
        </w:tc>
        <w:tc>
          <w:tcPr>
            <w:tcW w:w="1311" w:type="dxa"/>
            <w:vAlign w:val="top"/>
          </w:tcPr>
          <w:p>
            <w:pPr>
              <w:spacing w:line="400" w:lineRule="exact"/>
              <w:ind w:right="-158" w:rightChars="-75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8.5.5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0004" w:type="dxa"/>
            <w:vAlign w:val="top"/>
          </w:tcPr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查问，对于已经交付的产品，公司承诺：产成品交付后随时跟踪质量状况，发现问题，及时上门进行解决。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查，公司策划了售后管理的要求。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20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20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年暂无客户反馈质量问题。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spacing w:line="400" w:lineRule="exac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更改控制</w:t>
            </w:r>
          </w:p>
        </w:tc>
        <w:tc>
          <w:tcPr>
            <w:tcW w:w="1311" w:type="dxa"/>
            <w:vAlign w:val="top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8.5.6</w:t>
            </w:r>
          </w:p>
        </w:tc>
        <w:tc>
          <w:tcPr>
            <w:tcW w:w="10004" w:type="dxa"/>
            <w:vAlign w:val="top"/>
          </w:tcPr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查，公司对产品实现过程的更改策划了管理要求。主要包括：合同更改、产品信息更改等。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现场查，公司对于更改生产信息的管理，均为重新发放生产计划，并回收作废的计划单。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查，对于合同信息等更改，必须经过评审，确认能满足要求后方能进行签订，具体按文件管理要求。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查，近期暂无合同、信息变更的情况。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产品和服务放行；</w:t>
            </w:r>
          </w:p>
        </w:tc>
        <w:tc>
          <w:tcPr>
            <w:tcW w:w="1311" w:type="dxa"/>
            <w:vAlign w:val="top"/>
          </w:tcPr>
          <w:p>
            <w:pPr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Q8.6 </w:t>
            </w:r>
          </w:p>
        </w:tc>
        <w:tc>
          <w:tcPr>
            <w:tcW w:w="10004" w:type="dxa"/>
            <w:vAlign w:val="top"/>
          </w:tcPr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公司明确对各阶段产品和服务的放行均须实施必要的记录并保留。详见如下输入、过程及输出检验证据抽样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原材料检验按《原材料标准》检验</w:t>
            </w:r>
          </w:p>
          <w:p>
            <w:pPr>
              <w:spacing w:line="360" w:lineRule="auto"/>
              <w:ind w:firstLine="420" w:firstLineChars="2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eastAsia="zh-CN"/>
              </w:rPr>
              <w:t>负责人讲</w:t>
            </w:r>
            <w:r>
              <w:rPr>
                <w:rFonts w:hint="eastAsia"/>
                <w:lang w:val="en-US" w:eastAsia="zh-CN"/>
              </w:rPr>
              <w:t>公司所用材料和模具由现有唯一客户：南通通达</w:t>
            </w:r>
            <w:r>
              <w:rPr>
                <w:rFonts w:hint="eastAsia"/>
              </w:rPr>
              <w:t>矽</w:t>
            </w:r>
            <w:r>
              <w:rPr>
                <w:rFonts w:hint="eastAsia"/>
                <w:lang w:val="en-US" w:eastAsia="zh-CN"/>
              </w:rPr>
              <w:t>钢冲压科技</w:t>
            </w:r>
            <w:r>
              <w:rPr>
                <w:rFonts w:hint="eastAsia"/>
                <w:lang w:eastAsia="zh-CN"/>
              </w:rPr>
              <w:t>有限公司</w:t>
            </w:r>
            <w:r>
              <w:rPr>
                <w:rFonts w:hint="eastAsia"/>
                <w:lang w:val="en-US" w:eastAsia="zh-CN"/>
              </w:rPr>
              <w:t>提供，故只对客户交来材料核验材料质检报告，模具采用试制样件方法进行验收。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抽查：1）南通通达</w:t>
            </w:r>
            <w:r>
              <w:rPr>
                <w:rFonts w:hint="eastAsia"/>
              </w:rPr>
              <w:t>矽</w:t>
            </w:r>
            <w:r>
              <w:rPr>
                <w:rFonts w:hint="eastAsia"/>
                <w:lang w:val="en-US" w:eastAsia="zh-CN"/>
              </w:rPr>
              <w:t>钢冲压科技</w:t>
            </w:r>
            <w:r>
              <w:rPr>
                <w:rFonts w:hint="eastAsia"/>
                <w:lang w:eastAsia="zh-CN"/>
              </w:rPr>
              <w:t>有限公司</w:t>
            </w:r>
            <w:r>
              <w:rPr>
                <w:rFonts w:hint="eastAsia"/>
                <w:lang w:val="en-US" w:eastAsia="zh-CN"/>
              </w:rPr>
              <w:t>提供的外协产品发料申请审批记录，时间：2020.6.15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内容涉及：材料类别、材料规格、对应产品型号、材质、重量等信息。</w:t>
            </w:r>
          </w:p>
          <w:p>
            <w:pPr>
              <w:numPr>
                <w:ilvl w:val="0"/>
                <w:numId w:val="0"/>
              </w:numPr>
              <w:spacing w:line="360" w:lineRule="auto"/>
              <w:ind w:firstLine="420" w:firstLineChars="2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2）南通通达</w:t>
            </w:r>
            <w:r>
              <w:rPr>
                <w:rFonts w:hint="eastAsia"/>
              </w:rPr>
              <w:t>矽</w:t>
            </w:r>
            <w:r>
              <w:rPr>
                <w:rFonts w:hint="eastAsia"/>
                <w:lang w:val="en-US" w:eastAsia="zh-CN"/>
              </w:rPr>
              <w:t>钢冲压科技</w:t>
            </w:r>
            <w:r>
              <w:rPr>
                <w:rFonts w:hint="eastAsia"/>
                <w:lang w:eastAsia="zh-CN"/>
              </w:rPr>
              <w:t>有限公司</w:t>
            </w:r>
            <w:r>
              <w:rPr>
                <w:rFonts w:hint="eastAsia"/>
                <w:lang w:val="en-US" w:eastAsia="zh-CN"/>
              </w:rPr>
              <w:t>提供的模具、工装外借申请单。时间：2020.3.2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验证内容涉及：规格型号、编号、模具状态等，有模具管理员，供销部门管理人员签字确认。</w:t>
            </w:r>
          </w:p>
          <w:p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管理基本符合要求。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工序检验对每批产品生产过程主要工序进行监控。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1、</w:t>
            </w:r>
            <w:r>
              <w:rPr>
                <w:rFonts w:hint="eastAsia"/>
              </w:rPr>
              <w:t>抽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</w:rPr>
              <w:t>《</w:t>
            </w:r>
            <w:r>
              <w:rPr>
                <w:rFonts w:hint="eastAsia"/>
                <w:lang w:val="en-US" w:eastAsia="zh-CN"/>
              </w:rPr>
              <w:t>转子冲片检验过程控制单</w:t>
            </w:r>
            <w:r>
              <w:rPr>
                <w:rFonts w:hint="eastAsia"/>
              </w:rPr>
              <w:t xml:space="preserve">》 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3182620</wp:posOffset>
                  </wp:positionH>
                  <wp:positionV relativeFrom="paragraph">
                    <wp:posOffset>-511175</wp:posOffset>
                  </wp:positionV>
                  <wp:extent cx="2370455" cy="3441065"/>
                  <wp:effectExtent l="0" t="0" r="635" b="4445"/>
                  <wp:wrapNone/>
                  <wp:docPr id="13" name="图片 13" descr="扫描全能王 2020-07-05 06.15.00_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扫描全能王 2020-07-05 06.15.00_3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370455" cy="344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</w:rPr>
              <w:t>时间：20</w:t>
            </w:r>
            <w:r>
              <w:rPr>
                <w:rFonts w:hint="eastAsia"/>
                <w:lang w:val="en-US" w:eastAsia="zh-CN"/>
              </w:rPr>
              <w:t>20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  <w:lang w:val="en-US" w:eastAsia="zh-CN"/>
              </w:rPr>
              <w:t>7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  <w:lang w:val="en-US" w:eastAsia="zh-CN"/>
              </w:rPr>
              <w:t>3</w:t>
            </w:r>
            <w:r>
              <w:rPr>
                <w:rFonts w:hint="eastAsia"/>
              </w:rPr>
              <w:t>日</w:t>
            </w: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400" w:lineRule="exact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检验结论：合格       检验员：朱卫平 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2、</w:t>
            </w:r>
            <w:r>
              <w:rPr>
                <w:rFonts w:hint="eastAsia"/>
              </w:rPr>
              <w:t>抽《</w:t>
            </w:r>
            <w:r>
              <w:rPr>
                <w:rFonts w:hint="eastAsia"/>
                <w:lang w:val="en-US" w:eastAsia="zh-CN"/>
              </w:rPr>
              <w:t>定子冲片检验过程控制单</w:t>
            </w:r>
            <w:r>
              <w:rPr>
                <w:rFonts w:hint="eastAsia"/>
              </w:rPr>
              <w:t>》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时间：20</w:t>
            </w:r>
            <w:r>
              <w:rPr>
                <w:rFonts w:hint="eastAsia"/>
                <w:lang w:val="en-US" w:eastAsia="zh-CN"/>
              </w:rPr>
              <w:t>20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  <w:lang w:val="en-US" w:eastAsia="zh-CN"/>
              </w:rPr>
              <w:t>7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  <w:lang w:val="en-US" w:eastAsia="zh-CN"/>
              </w:rPr>
              <w:t>4</w:t>
            </w:r>
            <w:r>
              <w:rPr>
                <w:rFonts w:hint="eastAsia"/>
              </w:rPr>
              <w:t>日</w:t>
            </w: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400" w:lineRule="exact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检验结论：合格       检验员： 张晓勇    </w:t>
            </w:r>
          </w:p>
          <w:p>
            <w:pPr>
              <w:adjustRightInd w:val="0"/>
              <w:snapToGrid w:val="0"/>
              <w:spacing w:line="400" w:lineRule="exact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3、提供客户定子铁芯《检验记录单》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  <w:lang w:val="en-US" w:eastAsia="zh-CN"/>
              </w:rPr>
              <w:t xml:space="preserve">  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时间：20</w:t>
            </w:r>
            <w:r>
              <w:rPr>
                <w:rFonts w:hint="eastAsia"/>
                <w:lang w:val="en-US" w:eastAsia="zh-CN"/>
              </w:rPr>
              <w:t>20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  <w:lang w:val="en-US" w:eastAsia="zh-CN"/>
              </w:rPr>
              <w:t>18</w:t>
            </w:r>
            <w:r>
              <w:rPr>
                <w:rFonts w:hint="eastAsia"/>
              </w:rPr>
              <w:t>日</w:t>
            </w: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400" w:lineRule="exact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检验结论：合格  检验员：朱卫平    </w:t>
            </w:r>
          </w:p>
          <w:p>
            <w:pPr>
              <w:numPr>
                <w:ilvl w:val="0"/>
                <w:numId w:val="2"/>
              </w:numPr>
              <w:adjustRightInd w:val="0"/>
              <w:snapToGrid w:val="0"/>
              <w:spacing w:line="400" w:lineRule="exact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客户：南通通达</w:t>
            </w:r>
            <w:r>
              <w:rPr>
                <w:rFonts w:hint="eastAsia"/>
              </w:rPr>
              <w:t>矽</w:t>
            </w:r>
            <w:r>
              <w:rPr>
                <w:rFonts w:hint="eastAsia"/>
                <w:lang w:val="en-US" w:eastAsia="zh-CN"/>
              </w:rPr>
              <w:t>钢冲压科技</w:t>
            </w:r>
            <w:r>
              <w:rPr>
                <w:rFonts w:hint="eastAsia"/>
                <w:lang w:eastAsia="zh-CN"/>
              </w:rPr>
              <w:t>有限公司</w:t>
            </w:r>
          </w:p>
          <w:p>
            <w:pPr>
              <w:numPr>
                <w:numId w:val="0"/>
              </w:numPr>
              <w:adjustRightInd w:val="0"/>
              <w:snapToGrid w:val="0"/>
              <w:spacing w:line="400" w:lineRule="exact"/>
              <w:jc w:val="left"/>
              <w:rPr>
                <w:rFonts w:hint="eastAsia"/>
                <w:szCs w:val="22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检验后开具的</w:t>
            </w:r>
            <w:r>
              <w:rPr>
                <w:rFonts w:hint="eastAsia"/>
                <w:szCs w:val="22"/>
                <w:lang w:val="en-US" w:eastAsia="zh-CN"/>
              </w:rPr>
              <w:t>《采购入库单》。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经查，公司至今，没有原辅料</w:t>
            </w:r>
            <w:r>
              <w:rPr>
                <w:rFonts w:hint="eastAsia"/>
                <w:lang w:eastAsia="zh-CN"/>
              </w:rPr>
              <w:t>、</w:t>
            </w:r>
            <w:r>
              <w:rPr>
                <w:rFonts w:hint="eastAsia"/>
                <w:lang w:val="en-US" w:eastAsia="zh-CN"/>
              </w:rPr>
              <w:t>工装模具</w:t>
            </w:r>
            <w:r>
              <w:rPr>
                <w:rFonts w:hint="eastAsia"/>
              </w:rPr>
              <w:t xml:space="preserve">、半成品、成品让步放行的情况，产品的放行均有授权的质检人员的签字。  </w:t>
            </w:r>
          </w:p>
          <w:p>
            <w:pPr>
              <w:pStyle w:val="2"/>
              <w:rPr>
                <w:rFonts w:hint="eastAsia"/>
              </w:rPr>
            </w:pPr>
          </w:p>
          <w:p>
            <w:pPr>
              <w:pStyle w:val="3"/>
              <w:ind w:left="0" w:leftChars="0" w:firstLine="0" w:firstLineChars="0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2825750</wp:posOffset>
                  </wp:positionH>
                  <wp:positionV relativeFrom="paragraph">
                    <wp:posOffset>181610</wp:posOffset>
                  </wp:positionV>
                  <wp:extent cx="1961515" cy="2821940"/>
                  <wp:effectExtent l="0" t="0" r="6985" b="10160"/>
                  <wp:wrapNone/>
                  <wp:docPr id="12" name="图片 12" descr="扫描全能王 2020-07-05 06.15.00_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扫描全能王 2020-07-05 06.15.00_2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515" cy="282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234950</wp:posOffset>
                  </wp:positionH>
                  <wp:positionV relativeFrom="paragraph">
                    <wp:posOffset>100965</wp:posOffset>
                  </wp:positionV>
                  <wp:extent cx="2145030" cy="3040380"/>
                  <wp:effectExtent l="0" t="0" r="1270" b="7620"/>
                  <wp:wrapNone/>
                  <wp:docPr id="11" name="图片 11" descr="扫描全能王 2020-07-05 06.15.00_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扫描全能王 2020-07-05 06.15.00_2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030" cy="3040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1120140</wp:posOffset>
                  </wp:positionH>
                  <wp:positionV relativeFrom="paragraph">
                    <wp:posOffset>-610870</wp:posOffset>
                  </wp:positionV>
                  <wp:extent cx="2319020" cy="3947160"/>
                  <wp:effectExtent l="0" t="0" r="2540" b="5080"/>
                  <wp:wrapNone/>
                  <wp:docPr id="14" name="图片 14" descr="扫描全能王 2020-07-05 06.15.00_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扫描全能王 2020-07-05 06.15.00_3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319020" cy="394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  <w:p>
            <w:pPr>
              <w:pStyle w:val="3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  <w:p>
            <w:pPr>
              <w:pStyle w:val="3"/>
              <w:ind w:left="0" w:leftChars="0" w:firstLine="0" w:firstLineChars="0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不合格输出的控制</w:t>
            </w:r>
          </w:p>
        </w:tc>
        <w:tc>
          <w:tcPr>
            <w:tcW w:w="1311" w:type="dxa"/>
            <w:vAlign w:val="top"/>
          </w:tcPr>
          <w:p>
            <w:pP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Q8.7 </w:t>
            </w:r>
          </w:p>
        </w:tc>
        <w:tc>
          <w:tcPr>
            <w:tcW w:w="10004" w:type="dxa"/>
            <w:vAlign w:val="top"/>
          </w:tcPr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公司明确并实施对不合格的处置方法选择、采取措施的程度取决于不合格的性质及其对产品和服务的影响程度。</w:t>
            </w: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公司明确并实施对适用于纠正的不合格输出，在进行纠正之后须实施再验证。</w:t>
            </w: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公司明确并实施不合格处置后须保留含以下内容的记录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a）有关不合格的描述；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b）所采取措施的描述；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c）获得让步的描述；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d）处置不合格的授权标识。</w:t>
            </w:r>
          </w:p>
          <w:p>
            <w:pPr>
              <w:adjustRightInd w:val="0"/>
              <w:snapToGrid w:val="0"/>
              <w:spacing w:line="400" w:lineRule="exact"/>
              <w:ind w:firstLine="210" w:firstLineChars="1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公司编制了《不合格品控制程序》，对不合格品的控制及其职责、权限及要求进行了规定。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抽查《不合格处理单》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日期：20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20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年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月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28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日 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定子冲槽工序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不合格描述：抽检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定子冲槽冲片，表面有毛刺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处理方案：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不合格品进行去毛刺处理，模具进行磨刀口处理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；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处理结果：已返工合格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模具进行了修配。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验证人：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朱卫平、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20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20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年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月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30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日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经查，该公司体系运行以来没发生对不合格品进行让步放行的情况，</w:t>
            </w:r>
          </w:p>
          <w:p>
            <w:pPr>
              <w:adjustRightInd w:val="0"/>
              <w:snapToGrid w:val="0"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部门对不合格品的性质、处理的措施及结论的结果进行了记录及保持。 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新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新宋体"/>
                <w:sz w:val="21"/>
                <w:szCs w:val="21"/>
              </w:rPr>
              <w:t>危险源识别、评价与控制措施</w:t>
            </w:r>
          </w:p>
        </w:tc>
        <w:tc>
          <w:tcPr>
            <w:tcW w:w="1311" w:type="dxa"/>
            <w:vAlign w:val="top"/>
          </w:tcPr>
          <w:p>
            <w:pPr>
              <w:rPr>
                <w:rFonts w:hint="eastAsia" w:ascii="宋体" w:hAnsi="宋体" w:eastAsia="宋体" w:cs="新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新宋体"/>
                <w:sz w:val="21"/>
                <w:szCs w:val="21"/>
              </w:rPr>
              <w:t xml:space="preserve">S4.3.1 </w:t>
            </w:r>
          </w:p>
        </w:tc>
        <w:tc>
          <w:tcPr>
            <w:tcW w:w="10004" w:type="dxa"/>
            <w:vAlign w:val="top"/>
          </w:tcPr>
          <w:p>
            <w:pPr>
              <w:spacing w:line="360" w:lineRule="auto"/>
              <w:ind w:firstLine="210" w:firstLineChars="100"/>
              <w:rPr>
                <w:rFonts w:hint="eastAsia" w:ascii="宋体" w:hAnsi="宋体" w:cs="宋体"/>
                <w:sz w:val="21"/>
                <w:szCs w:val="21"/>
                <w:highlight w:val="none"/>
              </w:rPr>
            </w:pPr>
            <w:r>
              <w:rPr>
                <w:rFonts w:hint="eastAsia" w:ascii="宋体" w:cs="宋体"/>
                <w:sz w:val="21"/>
                <w:szCs w:val="21"/>
                <w:lang w:bidi="ar"/>
              </w:rPr>
              <w:t>查，</w:t>
            </w:r>
            <w:r>
              <w:rPr>
                <w:rFonts w:hint="eastAsia" w:ascii="宋体" w:cs="宋体"/>
                <w:sz w:val="21"/>
                <w:szCs w:val="21"/>
                <w:lang w:eastAsia="zh-CN" w:bidi="ar"/>
              </w:rPr>
              <w:t>生产技术部</w:t>
            </w:r>
            <w:r>
              <w:rPr>
                <w:rFonts w:hint="eastAsia" w:ascii="宋体" w:cs="宋体"/>
                <w:sz w:val="21"/>
                <w:szCs w:val="21"/>
                <w:lang w:bidi="ar"/>
              </w:rPr>
              <w:t>经过辨识与评审形成了</w:t>
            </w:r>
            <w:r>
              <w:rPr>
                <w:rFonts w:hint="eastAsia" w:ascii="宋体" w:hAnsi="宋体" w:cs="宋体"/>
                <w:sz w:val="21"/>
                <w:szCs w:val="21"/>
                <w:lang w:bidi="ar"/>
              </w:rPr>
              <w:t>《危险源辨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bidi="ar"/>
              </w:rPr>
              <w:t>识与风险评价表》共识别出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val="en-US" w:eastAsia="zh-CN" w:bidi="ar"/>
              </w:rPr>
              <w:t>140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bidi="ar"/>
              </w:rPr>
              <w:t>项危险源，包括电气使用不当造成</w:t>
            </w:r>
            <w:r>
              <w:rPr>
                <w:rFonts w:hint="eastAsia"/>
                <w:sz w:val="21"/>
                <w:szCs w:val="21"/>
                <w:highlight w:val="none"/>
              </w:rPr>
              <w:t>火灾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bidi="ar"/>
              </w:rPr>
              <w:t>；员工操作不当造成</w:t>
            </w:r>
            <w:r>
              <w:rPr>
                <w:rFonts w:hint="eastAsia"/>
                <w:sz w:val="21"/>
                <w:szCs w:val="21"/>
                <w:highlight w:val="none"/>
              </w:rPr>
              <w:t>触电；</w:t>
            </w:r>
            <w:r>
              <w:rPr>
                <w:rFonts w:hint="eastAsia"/>
                <w:sz w:val="21"/>
                <w:szCs w:val="21"/>
                <w:highlight w:val="none"/>
                <w:lang w:val="en-US" w:eastAsia="zh-CN"/>
              </w:rPr>
              <w:t>生产</w:t>
            </w:r>
            <w:r>
              <w:rPr>
                <w:rFonts w:hint="eastAsia"/>
                <w:sz w:val="21"/>
                <w:szCs w:val="21"/>
                <w:highlight w:val="none"/>
              </w:rPr>
              <w:t>过程中过程出现机械伤害等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bidi="ar"/>
              </w:rPr>
              <w:t>潜在伤害等危险源。</w:t>
            </w:r>
          </w:p>
          <w:p>
            <w:pPr>
              <w:spacing w:line="360" w:lineRule="auto"/>
              <w:ind w:firstLine="420" w:firstLineChars="200"/>
              <w:rPr>
                <w:rFonts w:hint="eastAsia" w:ascii="宋体" w:hAnsi="宋体" w:cs="宋体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cs="宋体"/>
                <w:sz w:val="21"/>
                <w:szCs w:val="21"/>
                <w:highlight w:val="none"/>
                <w:lang w:bidi="ar"/>
              </w:rPr>
              <w:t>采用的是经验判断法、过程分析法识别。</w:t>
            </w:r>
          </w:p>
          <w:p>
            <w:pPr>
              <w:spacing w:line="360" w:lineRule="auto"/>
              <w:ind w:firstLine="420" w:firstLineChars="200"/>
              <w:rPr>
                <w:rFonts w:hint="eastAsia" w:ascii="宋体" w:hAnsi="宋体" w:cs="宋体"/>
                <w:sz w:val="21"/>
                <w:szCs w:val="21"/>
                <w:highlight w:val="none"/>
              </w:rPr>
            </w:pPr>
            <w:r>
              <w:rPr>
                <w:rFonts w:hint="eastAsia" w:ascii="宋体" w:hAnsi="宋体" w:cs="宋体"/>
                <w:sz w:val="21"/>
                <w:szCs w:val="21"/>
                <w:highlight w:val="none"/>
                <w:lang w:bidi="ar"/>
              </w:rPr>
              <w:t>打分法确定不可接受风险：</w:t>
            </w:r>
            <w:r>
              <w:rPr>
                <w:rFonts w:hint="eastAsia"/>
                <w:sz w:val="21"/>
                <w:szCs w:val="21"/>
                <w:highlight w:val="none"/>
              </w:rPr>
              <w:t>触电、</w:t>
            </w:r>
            <w:r>
              <w:rPr>
                <w:rFonts w:hint="eastAsia"/>
                <w:sz w:val="21"/>
                <w:szCs w:val="21"/>
                <w:highlight w:val="none"/>
                <w:lang w:val="en-US" w:eastAsia="zh-CN"/>
              </w:rPr>
              <w:t>机械</w:t>
            </w:r>
            <w:r>
              <w:rPr>
                <w:rFonts w:hint="eastAsia"/>
                <w:sz w:val="21"/>
                <w:szCs w:val="21"/>
                <w:highlight w:val="none"/>
              </w:rPr>
              <w:t>伤害、潜在火灾</w:t>
            </w:r>
            <w:r>
              <w:rPr>
                <w:rFonts w:hint="eastAsia"/>
                <w:sz w:val="21"/>
                <w:szCs w:val="21"/>
                <w:highlight w:val="none"/>
                <w:lang w:val="en-US" w:eastAsia="zh-CN"/>
              </w:rPr>
              <w:t>3</w:t>
            </w:r>
            <w:r>
              <w:rPr>
                <w:rFonts w:hint="eastAsia" w:ascii="宋体" w:hAnsi="宋体" w:cs="宋体"/>
                <w:sz w:val="21"/>
                <w:szCs w:val="21"/>
                <w:highlight w:val="none"/>
                <w:lang w:bidi="ar"/>
              </w:rPr>
              <w:t>项。危险源辨识基本充分、风险等级评价基本合理。</w:t>
            </w:r>
          </w:p>
          <w:p>
            <w:pPr>
              <w:spacing w:line="360" w:lineRule="auto"/>
              <w:ind w:firstLine="420" w:firstLineChars="200"/>
              <w:rPr>
                <w:rFonts w:hint="eastAsia" w:ascii="宋体" w:hAnsi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sz w:val="21"/>
                <w:szCs w:val="21"/>
                <w:highlight w:val="none"/>
                <w:lang w:bidi="ar"/>
              </w:rPr>
              <w:t xml:space="preserve">查，风险控制措施有：  </w:t>
            </w:r>
            <w:r>
              <w:rPr>
                <w:rFonts w:hint="eastAsia" w:ascii="宋体" w:hAnsi="宋体" w:cs="宋体"/>
                <w:sz w:val="21"/>
                <w:szCs w:val="21"/>
                <w:lang w:bidi="ar"/>
              </w:rPr>
              <w:t>安全知识、消防知识宣传、教育及培训；特种作业人员须持证上岗</w:t>
            </w:r>
            <w:r>
              <w:rPr>
                <w:rFonts w:hint="eastAsia" w:ascii="宋体" w:hAnsi="宋体" w:cs="宋体"/>
                <w:sz w:val="21"/>
                <w:szCs w:val="21"/>
                <w:lang w:eastAsia="zh-CN" w:bidi="ar"/>
              </w:rPr>
              <w:t>；</w:t>
            </w:r>
            <w:r>
              <w:rPr>
                <w:rFonts w:hint="eastAsia" w:ascii="宋体" w:hAnsi="宋体" w:cs="宋体"/>
                <w:sz w:val="21"/>
                <w:szCs w:val="21"/>
                <w:lang w:bidi="ar"/>
              </w:rPr>
              <w:t>重点和关键岗位须制定安全操作规程；张贴安全、防护标志、消防疏散图；定期安全检查等。</w:t>
            </w:r>
          </w:p>
          <w:p>
            <w:pPr>
              <w:widowControl/>
              <w:spacing w:line="360" w:lineRule="auto"/>
              <w:jc w:val="left"/>
              <w:rPr>
                <w:rFonts w:hint="eastAsia" w:ascii="宋体" w:hAnsi="宋体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 w:val="21"/>
                <w:szCs w:val="21"/>
                <w:lang w:bidi="ar"/>
              </w:rPr>
              <w:t>危险源识别基本充分，控制措施需要完善。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</w:trPr>
        <w:tc>
          <w:tcPr>
            <w:tcW w:w="1809" w:type="dxa"/>
            <w:vAlign w:val="top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新宋体"/>
                <w:sz w:val="21"/>
                <w:szCs w:val="21"/>
              </w:rPr>
              <w:t>运行控制</w:t>
            </w:r>
          </w:p>
        </w:tc>
        <w:tc>
          <w:tcPr>
            <w:tcW w:w="1311" w:type="dxa"/>
            <w:vAlign w:val="top"/>
          </w:tcPr>
          <w:p>
            <w:pPr>
              <w:rPr>
                <w:rFonts w:ascii="宋体" w:hAnsi="宋体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新宋体"/>
                <w:sz w:val="21"/>
                <w:szCs w:val="21"/>
              </w:rPr>
              <w:t>S4.4.6</w:t>
            </w:r>
          </w:p>
        </w:tc>
        <w:tc>
          <w:tcPr>
            <w:tcW w:w="10004" w:type="dxa"/>
            <w:vAlign w:val="top"/>
          </w:tcPr>
          <w:p>
            <w:pPr>
              <w:spacing w:line="360" w:lineRule="auto"/>
              <w:ind w:firstLine="420" w:firstLineChars="200"/>
              <w:rPr>
                <w:rFonts w:ascii="宋体"/>
                <w:sz w:val="21"/>
                <w:szCs w:val="21"/>
              </w:rPr>
            </w:pPr>
            <w:r>
              <w:rPr>
                <w:rFonts w:hint="eastAsia" w:ascii="宋体"/>
                <w:sz w:val="21"/>
                <w:szCs w:val="21"/>
              </w:rPr>
              <w:t>查，</w:t>
            </w:r>
            <w:r>
              <w:rPr>
                <w:rFonts w:hint="eastAsia" w:ascii="宋体"/>
                <w:sz w:val="21"/>
                <w:szCs w:val="21"/>
                <w:lang w:eastAsia="zh-CN"/>
              </w:rPr>
              <w:t>生产技术部</w:t>
            </w:r>
            <w:r>
              <w:rPr>
                <w:rFonts w:hint="eastAsia" w:ascii="宋体"/>
                <w:sz w:val="21"/>
                <w:szCs w:val="21"/>
              </w:rPr>
              <w:t>实施以下安全管理制度：《</w:t>
            </w:r>
            <w:r>
              <w:rPr>
                <w:rFonts w:hint="eastAsia" w:ascii="宋体"/>
                <w:sz w:val="21"/>
                <w:szCs w:val="21"/>
                <w:lang w:val="en-US" w:eastAsia="zh-CN"/>
              </w:rPr>
              <w:t>管理</w:t>
            </w:r>
            <w:r>
              <w:rPr>
                <w:rFonts w:hint="eastAsia" w:ascii="宋体" w:hAnsi="宋体"/>
                <w:sz w:val="21"/>
                <w:szCs w:val="21"/>
              </w:rPr>
              <w:t>运行控制程序</w:t>
            </w:r>
            <w:r>
              <w:rPr>
                <w:rFonts w:hint="eastAsia" w:ascii="宋体"/>
                <w:sz w:val="21"/>
                <w:szCs w:val="21"/>
              </w:rPr>
              <w:t>》、《消防管理制度》、《</w:t>
            </w:r>
            <w:r>
              <w:rPr>
                <w:rFonts w:hint="eastAsia"/>
                <w:sz w:val="21"/>
                <w:szCs w:val="21"/>
              </w:rPr>
              <w:t>用电安全管理规定》、</w:t>
            </w:r>
            <w:r>
              <w:rPr>
                <w:rFonts w:hint="eastAsia" w:ascii="宋体" w:hAnsi="宋体" w:cs="Arial"/>
                <w:sz w:val="21"/>
                <w:szCs w:val="21"/>
              </w:rPr>
              <w:t>《</w:t>
            </w:r>
            <w:r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  <w:t>职工健康保护管理规定</w:t>
            </w:r>
            <w:r>
              <w:rPr>
                <w:rFonts w:hint="eastAsia" w:ascii="宋体" w:hAnsi="宋体" w:cs="Arial"/>
                <w:sz w:val="21"/>
                <w:szCs w:val="21"/>
              </w:rPr>
              <w:t>》、《</w:t>
            </w:r>
            <w:r>
              <w:rPr>
                <w:rFonts w:hint="eastAsia" w:ascii="宋体" w:hAnsi="宋体" w:cs="Arial"/>
                <w:sz w:val="21"/>
                <w:szCs w:val="21"/>
                <w:lang w:val="en-US" w:eastAsia="zh-CN"/>
              </w:rPr>
              <w:t>应急</w:t>
            </w:r>
            <w:r>
              <w:rPr>
                <w:rFonts w:hint="eastAsia" w:ascii="宋体" w:hAnsi="宋体" w:cs="Arial"/>
                <w:sz w:val="21"/>
                <w:szCs w:val="21"/>
              </w:rPr>
              <w:t>预案》、《劳动防护用品</w:t>
            </w:r>
            <w:r>
              <w:rPr>
                <w:rFonts w:hint="eastAsia"/>
                <w:sz w:val="21"/>
                <w:szCs w:val="21"/>
              </w:rPr>
              <w:t>管理制度</w:t>
            </w:r>
            <w:r>
              <w:rPr>
                <w:rFonts w:hint="eastAsia" w:ascii="宋体" w:hAnsi="宋体" w:cs="Arial"/>
                <w:sz w:val="21"/>
                <w:szCs w:val="21"/>
              </w:rPr>
              <w:t>》等</w:t>
            </w:r>
            <w:r>
              <w:rPr>
                <w:rFonts w:hint="eastAsia" w:ascii="宋体"/>
                <w:sz w:val="21"/>
                <w:szCs w:val="21"/>
              </w:rPr>
              <w:t>。</w:t>
            </w:r>
          </w:p>
          <w:p>
            <w:pPr>
              <w:spacing w:line="360" w:lineRule="auto"/>
              <w:ind w:firstLine="420" w:firstLineChars="200"/>
              <w:rPr>
                <w:rFonts w:hint="eastAsia" w:ascii="宋体" w:hAnsi="宋体"/>
                <w:color w:val="000000"/>
                <w:sz w:val="21"/>
                <w:szCs w:val="21"/>
              </w:rPr>
            </w:pPr>
            <w:r>
              <w:rPr>
                <w:rFonts w:hint="eastAsia" w:ascii="宋体"/>
                <w:color w:val="000000"/>
                <w:kern w:val="0"/>
                <w:sz w:val="21"/>
                <w:szCs w:val="21"/>
              </w:rPr>
              <w:t>现场查看，公司经营正常，</w:t>
            </w:r>
            <w:r>
              <w:rPr>
                <w:rFonts w:hint="eastAsia" w:ascii="宋体"/>
                <w:color w:val="000000"/>
                <w:kern w:val="0"/>
                <w:sz w:val="21"/>
                <w:szCs w:val="21"/>
                <w:lang w:eastAsia="zh-CN"/>
              </w:rPr>
              <w:t>生产技术部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的主要危险源为：</w:t>
            </w:r>
            <w:r>
              <w:rPr>
                <w:rFonts w:hint="eastAsia"/>
                <w:sz w:val="21"/>
                <w:szCs w:val="21"/>
              </w:rPr>
              <w:t>触电、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机械</w:t>
            </w:r>
            <w:r>
              <w:rPr>
                <w:rFonts w:hint="eastAsia"/>
                <w:sz w:val="21"/>
                <w:szCs w:val="21"/>
              </w:rPr>
              <w:t>伤害、潜在火灾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等。</w:t>
            </w:r>
          </w:p>
          <w:p>
            <w:pPr>
              <w:spacing w:line="360" w:lineRule="auto"/>
              <w:ind w:firstLine="420" w:firstLineChars="200"/>
              <w:rPr>
                <w:rFonts w:hint="eastAsia" w:ascii="宋体" w:hAnsi="宋体"/>
                <w:color w:val="000000"/>
                <w:sz w:val="21"/>
                <w:szCs w:val="21"/>
              </w:rPr>
            </w:pPr>
            <w:r>
              <w:rPr>
                <w:rFonts w:hint="eastAsia" w:ascii="宋体" w:hAnsi="宋体"/>
                <w:color w:val="000000"/>
                <w:sz w:val="21"/>
                <w:szCs w:val="21"/>
                <w:lang w:eastAsia="zh-CN"/>
              </w:rPr>
              <w:t>生产技术部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制订了相关的危险源防护、管理措施：</w:t>
            </w:r>
          </w:p>
          <w:p>
            <w:pPr>
              <w:spacing w:line="360" w:lineRule="auto"/>
              <w:rPr>
                <w:rFonts w:hint="eastAsia" w:ascii="宋体" w:hAnsi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sz w:val="21"/>
                <w:szCs w:val="21"/>
              </w:rPr>
              <w:t>查看，在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生产车间及</w:t>
            </w:r>
            <w:r>
              <w:rPr>
                <w:rFonts w:hint="eastAsia" w:ascii="宋体" w:hAnsi="宋体" w:cs="宋体"/>
                <w:sz w:val="21"/>
                <w:szCs w:val="21"/>
              </w:rPr>
              <w:t>办公现场。</w:t>
            </w:r>
          </w:p>
          <w:p>
            <w:pPr>
              <w:spacing w:line="360" w:lineRule="auto"/>
              <w:rPr>
                <w:rFonts w:hint="eastAsia" w:ascii="宋体" w:hAnsi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sz w:val="21"/>
                <w:szCs w:val="21"/>
              </w:rPr>
              <w:t>现场张贴有“请勿吸烟”标识；</w:t>
            </w:r>
          </w:p>
          <w:p>
            <w:pPr>
              <w:spacing w:line="360" w:lineRule="auto"/>
              <w:rPr>
                <w:rFonts w:hint="eastAsia" w:ascii="宋体" w:hAnsi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sz w:val="21"/>
                <w:szCs w:val="21"/>
              </w:rPr>
              <w:t>现场查看：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宋体" w:hAnsi="宋体" w:cs="宋体"/>
                <w:sz w:val="21"/>
                <w:szCs w:val="21"/>
              </w:rPr>
              <w:t>现场未发现大功率电器使用。</w:t>
            </w:r>
          </w:p>
          <w:p>
            <w:pPr>
              <w:spacing w:line="360" w:lineRule="auto"/>
              <w:rPr>
                <w:rFonts w:hint="eastAsia" w:ascii="宋体" w:hAnsi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sz w:val="21"/>
                <w:szCs w:val="21"/>
              </w:rPr>
              <w:t>现场查看：现场电线有穿管保护，固定布局、现场有吸烟提醒。</w:t>
            </w:r>
          </w:p>
          <w:p>
            <w:pPr>
              <w:spacing w:line="360" w:lineRule="auto"/>
              <w:rPr>
                <w:rFonts w:hint="eastAsia" w:ascii="宋体" w:hAnsi="宋体"/>
                <w:color w:val="000000"/>
                <w:sz w:val="21"/>
                <w:szCs w:val="21"/>
              </w:rPr>
            </w:pPr>
            <w:r>
              <w:rPr>
                <w:rFonts w:hint="eastAsia" w:ascii="宋体" w:hAnsi="宋体" w:cs="宋体"/>
                <w:sz w:val="21"/>
                <w:szCs w:val="21"/>
              </w:rPr>
              <w:t>查看，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在生产车间正在落料、冲槽作业的员工穿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戴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有工作服、手套、带耳塞；铸铝工序作业的员工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戴</w:t>
            </w:r>
            <w:r>
              <w:rPr>
                <w:rFonts w:hint="eastAsia" w:ascii="宋体" w:hAnsi="宋体"/>
                <w:color w:val="000000"/>
                <w:sz w:val="21"/>
                <w:szCs w:val="21"/>
                <w:lang w:val="en-US" w:eastAsia="zh-CN"/>
              </w:rPr>
              <w:t>有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口罩；焊接作业的员工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戴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有面罩、车削加工的员工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戴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有眼罩。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在现场查看，员工基本按要求穿戴劳保</w:t>
            </w:r>
            <w:r>
              <w:rPr>
                <w:rFonts w:hint="eastAsia" w:ascii="宋体" w:hAnsi="宋体"/>
                <w:color w:val="000000"/>
                <w:sz w:val="21"/>
                <w:szCs w:val="21"/>
                <w:lang w:val="en-US" w:eastAsia="zh-CN"/>
              </w:rPr>
              <w:t>防护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用品，对意外</w:t>
            </w:r>
            <w:r>
              <w:rPr>
                <w:rFonts w:hint="eastAsia" w:ascii="宋体" w:hAnsi="宋体"/>
                <w:color w:val="000000"/>
                <w:sz w:val="21"/>
                <w:szCs w:val="21"/>
                <w:lang w:val="en-US" w:eastAsia="zh-CN"/>
              </w:rPr>
              <w:t>机械</w:t>
            </w:r>
            <w:r>
              <w:rPr>
                <w:rFonts w:hint="eastAsia" w:ascii="宋体" w:hAnsi="宋体"/>
                <w:color w:val="000000"/>
                <w:sz w:val="21"/>
                <w:szCs w:val="21"/>
              </w:rPr>
              <w:t>伤害等能起到有效的防护作用；</w:t>
            </w:r>
          </w:p>
          <w:p>
            <w:pPr>
              <w:spacing w:line="360" w:lineRule="auto"/>
              <w:ind w:firstLine="525" w:firstLineChars="250"/>
              <w:rPr>
                <w:rFonts w:hint="eastAsia" w:ascii="宋体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 w:val="21"/>
                <w:szCs w:val="21"/>
              </w:rPr>
              <w:t>组织的运行控制基本符合要求。</w:t>
            </w:r>
            <w:r>
              <w:rPr>
                <w:rFonts w:ascii="宋体" w:hAnsi="宋体"/>
                <w:sz w:val="21"/>
                <w:szCs w:val="21"/>
              </w:rPr>
              <w:t xml:space="preserve"> </w:t>
            </w:r>
          </w:p>
        </w:tc>
        <w:tc>
          <w:tcPr>
            <w:tcW w:w="1585" w:type="dxa"/>
          </w:tcPr>
          <w:p>
            <w:pPr>
              <w:rPr>
                <w:rFonts w:ascii="楷体" w:hAnsi="楷体" w:eastAsia="楷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4" w:hRule="atLeast"/>
        </w:trPr>
        <w:tc>
          <w:tcPr>
            <w:tcW w:w="1809" w:type="dxa"/>
            <w:vAlign w:val="top"/>
          </w:tcPr>
          <w:p>
            <w:pPr>
              <w:adjustRightInd w:val="0"/>
              <w:snapToGrid w:val="0"/>
              <w:jc w:val="center"/>
              <w:rPr>
                <w:rFonts w:ascii="宋体" w:hAnsi="宋体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新宋体"/>
                <w:sz w:val="21"/>
                <w:szCs w:val="21"/>
              </w:rPr>
              <w:t>应急准备和响应</w:t>
            </w:r>
          </w:p>
        </w:tc>
        <w:tc>
          <w:tcPr>
            <w:tcW w:w="1311" w:type="dxa"/>
            <w:vAlign w:val="top"/>
          </w:tcPr>
          <w:p>
            <w:pPr>
              <w:rPr>
                <w:rFonts w:ascii="宋体" w:hAnsi="宋体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新宋体"/>
                <w:sz w:val="21"/>
                <w:szCs w:val="21"/>
              </w:rPr>
              <w:t>S4.4.7</w:t>
            </w:r>
          </w:p>
        </w:tc>
        <w:tc>
          <w:tcPr>
            <w:tcW w:w="10004" w:type="dxa"/>
            <w:vAlign w:val="top"/>
          </w:tcPr>
          <w:p>
            <w:pPr>
              <w:spacing w:line="360" w:lineRule="auto"/>
            </w:pPr>
            <w:r>
              <w:rPr>
                <w:rFonts w:hint="eastAsia"/>
              </w:rPr>
              <w:t>查见：《应急准备和响应程序》、《消防与疏散演习实施方案》</w:t>
            </w:r>
          </w:p>
          <w:p>
            <w:pPr>
              <w:spacing w:line="360" w:lineRule="auto"/>
              <w:ind w:firstLine="315" w:firstLineChars="15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全体员工</w:t>
            </w:r>
            <w:r>
              <w:rPr>
                <w:rFonts w:hint="eastAsia"/>
              </w:rPr>
              <w:t>的在</w:t>
            </w:r>
            <w:r>
              <w:rPr>
                <w:rFonts w:hint="eastAsia"/>
                <w:lang w:val="en-US" w:eastAsia="zh-CN"/>
              </w:rPr>
              <w:t>行政</w:t>
            </w:r>
            <w:r>
              <w:rPr>
                <w:rFonts w:hint="eastAsia"/>
                <w:lang w:eastAsia="zh-CN"/>
              </w:rPr>
              <w:t>部</w:t>
            </w:r>
            <w:r>
              <w:rPr>
                <w:rFonts w:hint="eastAsia"/>
              </w:rPr>
              <w:t>组织下，参加了公司组织的</w:t>
            </w:r>
            <w:r>
              <w:rPr>
                <w:rFonts w:hint="eastAsia"/>
                <w:lang w:val="en-US" w:eastAsia="zh-CN"/>
              </w:rPr>
              <w:t>火灾应急演练。</w:t>
            </w:r>
          </w:p>
          <w:p>
            <w:pPr>
              <w:spacing w:line="360" w:lineRule="auto"/>
              <w:jc w:val="left"/>
              <w:rPr>
                <w:rFonts w:hint="eastAsia"/>
              </w:rPr>
            </w:pPr>
            <w:r>
              <w:rPr>
                <w:rFonts w:hint="eastAsia"/>
              </w:rPr>
              <w:t>查见：消防演练实况记录：</w:t>
            </w:r>
            <w:r>
              <w:rPr>
                <w:rFonts w:hint="eastAsia"/>
                <w:lang w:eastAsia="zh-CN"/>
              </w:rPr>
              <w:t>生产技术部</w:t>
            </w:r>
            <w:r>
              <w:rPr>
                <w:rFonts w:hint="eastAsia"/>
                <w:lang w:val="en-US" w:eastAsia="zh-CN"/>
              </w:rPr>
              <w:t>及车间工人</w:t>
            </w:r>
            <w:bookmarkStart w:id="0" w:name="_GoBack"/>
            <w:bookmarkEnd w:id="0"/>
            <w:r>
              <w:rPr>
                <w:rFonts w:hint="eastAsia"/>
              </w:rPr>
              <w:t>参加了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2020年4月21日</w:t>
            </w:r>
            <w:r>
              <w:rPr>
                <w:rFonts w:hint="eastAsia"/>
              </w:rPr>
              <w:t>在公司办公区由</w:t>
            </w:r>
            <w:r>
              <w:rPr>
                <w:rFonts w:hint="eastAsia"/>
                <w:lang w:val="en-US" w:eastAsia="zh-CN"/>
              </w:rPr>
              <w:t>行政</w:t>
            </w:r>
            <w:r>
              <w:rPr>
                <w:rFonts w:hint="eastAsia"/>
                <w:lang w:eastAsia="zh-CN"/>
              </w:rPr>
              <w:t>部</w:t>
            </w:r>
            <w:r>
              <w:rPr>
                <w:rFonts w:hint="eastAsia"/>
              </w:rPr>
              <w:t>组织的消防演练。</w:t>
            </w:r>
          </w:p>
          <w:p>
            <w:pPr>
              <w:spacing w:line="360" w:lineRule="auto"/>
              <w:ind w:firstLine="420" w:firstLineChars="200"/>
              <w:rPr>
                <w:rFonts w:hint="eastAsia"/>
              </w:rPr>
            </w:pPr>
            <w:r>
              <w:rPr>
                <w:rFonts w:hint="eastAsia"/>
              </w:rPr>
              <w:t>查，现场对应，</w:t>
            </w:r>
            <w:r>
              <w:rPr>
                <w:rFonts w:hint="eastAsia"/>
                <w:lang w:val="en-US" w:eastAsia="zh-CN"/>
              </w:rPr>
              <w:t>部门</w:t>
            </w:r>
            <w:r>
              <w:rPr>
                <w:rFonts w:hint="eastAsia"/>
              </w:rPr>
              <w:t>员工的安全逃生意识有明显的改善和较大提高。使员工掌握了安全逃生的方式和路径。同时使员工掌握了灭火器材的使用。消防器材完善、良好。</w:t>
            </w:r>
          </w:p>
          <w:p>
            <w:pPr>
              <w:spacing w:before="120" w:line="360" w:lineRule="auto"/>
              <w:ind w:firstLine="420" w:firstLineChars="20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szCs w:val="22"/>
              </w:rPr>
              <w:t>查看生产车间消防器材前有遮挡物，消防通道不畅通，不符合规定要求。</w:t>
            </w:r>
          </w:p>
        </w:tc>
        <w:tc>
          <w:tcPr>
            <w:tcW w:w="1585" w:type="dxa"/>
          </w:tcPr>
          <w:p/>
          <w:p>
            <w:pPr>
              <w:pStyle w:val="2"/>
            </w:pPr>
          </w:p>
          <w:p>
            <w:pPr>
              <w:pStyle w:val="3"/>
              <w:rPr>
                <w:rFonts w:ascii="楷体" w:hAnsi="楷体" w:eastAsia="楷体"/>
                <w:sz w:val="24"/>
                <w:szCs w:val="24"/>
              </w:rPr>
            </w:pPr>
          </w:p>
          <w:p>
            <w:pPr>
              <w:pStyle w:val="3"/>
              <w:rPr>
                <w:rFonts w:ascii="楷体" w:hAnsi="楷体" w:eastAsia="楷体"/>
                <w:sz w:val="24"/>
                <w:szCs w:val="24"/>
              </w:rPr>
            </w:pPr>
          </w:p>
          <w:p>
            <w:pPr>
              <w:pStyle w:val="3"/>
              <w:rPr>
                <w:rFonts w:ascii="楷体" w:hAnsi="楷体" w:eastAsia="楷体"/>
                <w:sz w:val="24"/>
                <w:szCs w:val="24"/>
              </w:rPr>
            </w:pPr>
          </w:p>
          <w:p>
            <w:pPr>
              <w:pStyle w:val="3"/>
              <w:rPr>
                <w:rFonts w:ascii="楷体" w:hAnsi="楷体" w:eastAsia="楷体"/>
                <w:sz w:val="24"/>
                <w:szCs w:val="24"/>
              </w:rPr>
            </w:pPr>
          </w:p>
          <w:p>
            <w:pPr>
              <w:pStyle w:val="3"/>
              <w:rPr>
                <w:rFonts w:ascii="楷体" w:hAnsi="楷体" w:eastAsia="楷体"/>
                <w:sz w:val="24"/>
                <w:szCs w:val="24"/>
              </w:rPr>
            </w:pPr>
          </w:p>
          <w:p>
            <w:pPr>
              <w:pStyle w:val="3"/>
              <w:rPr>
                <w:rFonts w:hint="eastAsia" w:ascii="楷体" w:hAnsi="楷体" w:eastAsia="楷体"/>
                <w:sz w:val="24"/>
                <w:szCs w:val="24"/>
                <w:lang w:val="en-US" w:eastAsia="zh-CN"/>
              </w:rPr>
            </w:pPr>
          </w:p>
          <w:p>
            <w:pPr>
              <w:pStyle w:val="3"/>
              <w:rPr>
                <w:rFonts w:hint="eastAsia" w:ascii="楷体" w:hAnsi="楷体" w:eastAsia="楷体"/>
                <w:sz w:val="24"/>
                <w:szCs w:val="24"/>
                <w:lang w:val="en-US" w:eastAsia="zh-CN"/>
              </w:rPr>
            </w:pPr>
            <w:r>
              <w:rPr>
                <w:rFonts w:hint="eastAsia" w:ascii="楷体" w:hAnsi="楷体" w:eastAsia="楷体"/>
                <w:sz w:val="24"/>
                <w:szCs w:val="24"/>
                <w:lang w:val="en-US" w:eastAsia="zh-CN"/>
              </w:rPr>
              <w:t>N</w:t>
            </w:r>
          </w:p>
        </w:tc>
      </w:tr>
    </w:tbl>
    <w:p>
      <w:pPr>
        <w:pStyle w:val="5"/>
        <w:rPr>
          <w:rFonts w:ascii="楷体" w:hAnsi="楷体" w:eastAsia="楷体"/>
        </w:rPr>
      </w:pPr>
    </w:p>
    <w:sectPr>
      <w:headerReference r:id="rId3" w:type="default"/>
      <w:footerReference r:id="rId4" w:type="default"/>
      <w:pgSz w:w="16838" w:h="11906" w:orient="landscape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方正仿宋简体">
    <w:altName w:val="黑体"/>
    <w:panose1 w:val="00000000000000000000"/>
    <w:charset w:val="86"/>
    <w:family w:val="modern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724900"/>
    </w:sdtPr>
    <w:sdtContent>
      <w:sdt>
        <w:sdtPr>
          <w:id w:val="171357217"/>
        </w:sdtPr>
        <w:sdtContent>
          <w:p>
            <w:pPr>
              <w:pStyle w:val="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16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16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  <w:tabs>
        <w:tab w:val="left" w:pos="8910"/>
        <w:tab w:val="left" w:pos="9142"/>
        <w:tab w:val="clear" w:pos="4153"/>
      </w:tabs>
      <w:spacing w:line="320" w:lineRule="exact"/>
      <w:ind w:left="-86" w:leftChars="-41" w:firstLine="810" w:firstLineChars="450"/>
      <w:jc w:val="left"/>
      <w:rPr>
        <w:rStyle w:val="14"/>
        <w:rFonts w:hint="default"/>
      </w:rPr>
    </w:pPr>
    <w: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-635</wp:posOffset>
          </wp:positionH>
          <wp:positionV relativeFrom="paragraph">
            <wp:posOffset>4445</wp:posOffset>
          </wp:positionV>
          <wp:extent cx="410210" cy="433070"/>
          <wp:effectExtent l="19050" t="0" r="8890" b="0"/>
          <wp:wrapTight wrapText="bothSides">
            <wp:wrapPolygon>
              <wp:start x="4012" y="0"/>
              <wp:lineTo x="0" y="3801"/>
              <wp:lineTo x="-1003" y="15202"/>
              <wp:lineTo x="5015" y="20903"/>
              <wp:lineTo x="6019" y="20903"/>
              <wp:lineTo x="16050" y="20903"/>
              <wp:lineTo x="17053" y="20903"/>
              <wp:lineTo x="21065" y="16152"/>
              <wp:lineTo x="21065" y="15202"/>
              <wp:lineTo x="22068" y="9501"/>
              <wp:lineTo x="20062" y="3801"/>
              <wp:lineTo x="17053" y="0"/>
              <wp:lineTo x="4012" y="0"/>
            </wp:wrapPolygon>
          </wp:wrapTight>
          <wp:docPr id="1" name="图片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2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10210" cy="4330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Style w:val="14"/>
        <w:rFonts w:hint="default"/>
      </w:rPr>
      <w:t>北京国标联合认证有限公司</w:t>
    </w:r>
    <w:r>
      <w:rPr>
        <w:rStyle w:val="14"/>
        <w:rFonts w:hint="default"/>
      </w:rPr>
      <w:tab/>
    </w:r>
    <w:r>
      <w:rPr>
        <w:rStyle w:val="14"/>
        <w:rFonts w:hint="default"/>
      </w:rPr>
      <w:tab/>
    </w:r>
    <w:r>
      <w:rPr>
        <w:rStyle w:val="14"/>
        <w:rFonts w:hint="default"/>
      </w:rPr>
      <w:tab/>
    </w:r>
  </w:p>
  <w:p>
    <w:pPr>
      <w:pStyle w:val="6"/>
      <w:pBdr>
        <w:bottom w:val="none" w:color="auto" w:sz="0" w:space="1"/>
      </w:pBdr>
      <w:spacing w:line="320" w:lineRule="exact"/>
      <w:jc w:val="left"/>
    </w:pPr>
    <w:r>
      <w:pict>
        <v:shape id="文本框 1" o:spid="_x0000_s3073" o:spt="202" type="#_x0000_t202" style="position:absolute;left:0pt;margin-left:554.75pt;margin-top:2.2pt;height:20.2pt;width:172pt;z-index:251661312;mso-width-relative:page;mso-height-relative:page;" stroked="f" coordsize="21600,21600" o:gfxdata="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DDVqXNcA&#10;AAAJAQAADwAAAAAAAAABACAAAAAiAAAAZHJzL2Rvd25yZXYueG1sUEsBAhQAFAAAAAgAh07iQEPN&#10;lhyuAQAAMgMAAA4AAAAAAAAAAQAgAAAAJgEAAGRycy9lMm9Eb2MueG1sUEsFBgAAAAAGAAYAWQEA&#10;AEYFAAAAAA==&#10;">
          <v:path/>
          <v:fill focussize="0,0"/>
          <v:stroke on="f" joinstyle="miter"/>
          <v:imagedata o:title=""/>
          <o:lock v:ext="edit"/>
          <v:textbox>
            <w:txbxContent>
              <w:p>
                <w:r>
                  <w:rPr>
                    <w:rFonts w:hint="eastAsia"/>
                    <w:sz w:val="18"/>
                    <w:szCs w:val="18"/>
                  </w:rPr>
                  <w:t>ISC-B-II-1</w:t>
                </w:r>
                <w:r>
                  <w:rPr>
                    <w:sz w:val="18"/>
                    <w:szCs w:val="18"/>
                  </w:rPr>
                  <w:t>2</w:t>
                </w:r>
                <w:r>
                  <w:rPr>
                    <w:rFonts w:hint="eastAsia"/>
                    <w:sz w:val="18"/>
                    <w:szCs w:val="18"/>
                  </w:rPr>
                  <w:t xml:space="preserve"> 管理体系审核记录表(03版)</w:t>
                </w:r>
              </w:p>
              <w:p/>
            </w:txbxContent>
          </v:textbox>
        </v:shape>
      </w:pict>
    </w:r>
    <w:r>
      <w:rPr>
        <w:rStyle w:val="14"/>
        <w:rFonts w:hint="default"/>
      </w:rPr>
      <w:t xml:space="preserve">        </w:t>
    </w:r>
    <w:r>
      <w:rPr>
        <w:rStyle w:val="14"/>
        <w:rFonts w:hint="default"/>
        <w:w w:val="90"/>
      </w:rPr>
      <w:t>Beijing International Standard united Certification Co.,Ltd.</w:t>
    </w:r>
    <w:r>
      <w:rPr>
        <w:rStyle w:val="14"/>
        <w:rFonts w:hint="default"/>
        <w:w w:val="90"/>
        <w:szCs w:val="21"/>
      </w:rPr>
      <w:t xml:space="preserve">  </w:t>
    </w:r>
    <w:r>
      <w:rPr>
        <w:rStyle w:val="14"/>
        <w:rFonts w:hint="default"/>
        <w:w w:val="90"/>
        <w:sz w:val="20"/>
      </w:rPr>
      <w:t xml:space="preserve"> </w:t>
    </w:r>
    <w:r>
      <w:rPr>
        <w:rStyle w:val="14"/>
        <w:rFonts w:hint="default"/>
        <w:w w:val="90"/>
      </w:rPr>
      <w:t xml:space="preserve">                   </w:t>
    </w:r>
  </w:p>
  <w:p>
    <w:pPr>
      <w:pStyle w:val="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FD2160D"/>
    <w:multiLevelType w:val="singleLevel"/>
    <w:tmpl w:val="DFD2160D"/>
    <w:lvl w:ilvl="0" w:tentative="0">
      <w:start w:val="4"/>
      <w:numFmt w:val="decimal"/>
      <w:suff w:val="nothing"/>
      <w:lvlText w:val="%1、"/>
      <w:lvlJc w:val="left"/>
    </w:lvl>
  </w:abstractNum>
  <w:abstractNum w:abstractNumId="1">
    <w:nsid w:val="FC6B142E"/>
    <w:multiLevelType w:val="singleLevel"/>
    <w:tmpl w:val="FC6B142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,3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973B4"/>
    <w:rsid w:val="000214B6"/>
    <w:rsid w:val="0003373A"/>
    <w:rsid w:val="0005199E"/>
    <w:rsid w:val="0005697E"/>
    <w:rsid w:val="00067211"/>
    <w:rsid w:val="0007434D"/>
    <w:rsid w:val="00077664"/>
    <w:rsid w:val="000849D2"/>
    <w:rsid w:val="000900C7"/>
    <w:rsid w:val="000A4262"/>
    <w:rsid w:val="000A5E44"/>
    <w:rsid w:val="000B1394"/>
    <w:rsid w:val="000B2CBB"/>
    <w:rsid w:val="000B40BD"/>
    <w:rsid w:val="000C123B"/>
    <w:rsid w:val="000E2B69"/>
    <w:rsid w:val="000E6D20"/>
    <w:rsid w:val="000E79D8"/>
    <w:rsid w:val="000F35F1"/>
    <w:rsid w:val="00102BD4"/>
    <w:rsid w:val="001037D5"/>
    <w:rsid w:val="00112DDC"/>
    <w:rsid w:val="00114B32"/>
    <w:rsid w:val="00130839"/>
    <w:rsid w:val="001421D7"/>
    <w:rsid w:val="00155DE4"/>
    <w:rsid w:val="001571E1"/>
    <w:rsid w:val="001A2C67"/>
    <w:rsid w:val="001A2D7F"/>
    <w:rsid w:val="001A3DF8"/>
    <w:rsid w:val="001A645E"/>
    <w:rsid w:val="001C312E"/>
    <w:rsid w:val="001C414C"/>
    <w:rsid w:val="001E6DB3"/>
    <w:rsid w:val="001F5CB1"/>
    <w:rsid w:val="00212CA6"/>
    <w:rsid w:val="00213DAD"/>
    <w:rsid w:val="002178DD"/>
    <w:rsid w:val="00222532"/>
    <w:rsid w:val="00224FEC"/>
    <w:rsid w:val="00237445"/>
    <w:rsid w:val="00244D31"/>
    <w:rsid w:val="00252A58"/>
    <w:rsid w:val="00253660"/>
    <w:rsid w:val="002603B9"/>
    <w:rsid w:val="00262BE7"/>
    <w:rsid w:val="00283893"/>
    <w:rsid w:val="002A0E6E"/>
    <w:rsid w:val="002B698C"/>
    <w:rsid w:val="002C221B"/>
    <w:rsid w:val="002C3E0D"/>
    <w:rsid w:val="002D41FB"/>
    <w:rsid w:val="002E1E1D"/>
    <w:rsid w:val="00305F8E"/>
    <w:rsid w:val="00334C7D"/>
    <w:rsid w:val="00337922"/>
    <w:rsid w:val="00340867"/>
    <w:rsid w:val="00342857"/>
    <w:rsid w:val="003627B6"/>
    <w:rsid w:val="00362BE6"/>
    <w:rsid w:val="003708D5"/>
    <w:rsid w:val="00380837"/>
    <w:rsid w:val="003836CA"/>
    <w:rsid w:val="003843C4"/>
    <w:rsid w:val="00384DA4"/>
    <w:rsid w:val="00386A98"/>
    <w:rsid w:val="003B36F3"/>
    <w:rsid w:val="003C4CDD"/>
    <w:rsid w:val="003C7F1E"/>
    <w:rsid w:val="003D6BE3"/>
    <w:rsid w:val="003E0151"/>
    <w:rsid w:val="003E7005"/>
    <w:rsid w:val="003F20A5"/>
    <w:rsid w:val="003F5ED7"/>
    <w:rsid w:val="003F7542"/>
    <w:rsid w:val="00405D5F"/>
    <w:rsid w:val="00410914"/>
    <w:rsid w:val="00422E32"/>
    <w:rsid w:val="0043494E"/>
    <w:rsid w:val="00451D10"/>
    <w:rsid w:val="004647B9"/>
    <w:rsid w:val="004649EB"/>
    <w:rsid w:val="00465FE1"/>
    <w:rsid w:val="00470288"/>
    <w:rsid w:val="00491735"/>
    <w:rsid w:val="0049488A"/>
    <w:rsid w:val="004A036C"/>
    <w:rsid w:val="004B217F"/>
    <w:rsid w:val="004C07FE"/>
    <w:rsid w:val="004C24AA"/>
    <w:rsid w:val="004E0DBF"/>
    <w:rsid w:val="004F12EB"/>
    <w:rsid w:val="004F1E27"/>
    <w:rsid w:val="004F2B3D"/>
    <w:rsid w:val="00501E62"/>
    <w:rsid w:val="00521CF0"/>
    <w:rsid w:val="0052693C"/>
    <w:rsid w:val="005276EC"/>
    <w:rsid w:val="00536930"/>
    <w:rsid w:val="00564E53"/>
    <w:rsid w:val="00570D4D"/>
    <w:rsid w:val="00573E6C"/>
    <w:rsid w:val="00583277"/>
    <w:rsid w:val="00592C3E"/>
    <w:rsid w:val="005A000F"/>
    <w:rsid w:val="005A5A31"/>
    <w:rsid w:val="005B6888"/>
    <w:rsid w:val="005C7474"/>
    <w:rsid w:val="005D2C72"/>
    <w:rsid w:val="005D2EB3"/>
    <w:rsid w:val="005E794C"/>
    <w:rsid w:val="005F6C65"/>
    <w:rsid w:val="005F7148"/>
    <w:rsid w:val="005F7FD5"/>
    <w:rsid w:val="00600F02"/>
    <w:rsid w:val="0060444D"/>
    <w:rsid w:val="00612015"/>
    <w:rsid w:val="00613B0B"/>
    <w:rsid w:val="00631A9D"/>
    <w:rsid w:val="00642776"/>
    <w:rsid w:val="00644FE2"/>
    <w:rsid w:val="006457AD"/>
    <w:rsid w:val="00645FB8"/>
    <w:rsid w:val="00647894"/>
    <w:rsid w:val="00651986"/>
    <w:rsid w:val="00653518"/>
    <w:rsid w:val="006545E8"/>
    <w:rsid w:val="0065722B"/>
    <w:rsid w:val="00665980"/>
    <w:rsid w:val="00665DE2"/>
    <w:rsid w:val="0067640C"/>
    <w:rsid w:val="00686B64"/>
    <w:rsid w:val="00695256"/>
    <w:rsid w:val="00695570"/>
    <w:rsid w:val="00696AF1"/>
    <w:rsid w:val="006A1B00"/>
    <w:rsid w:val="006A210A"/>
    <w:rsid w:val="006A3A34"/>
    <w:rsid w:val="006A3B31"/>
    <w:rsid w:val="006A68F3"/>
    <w:rsid w:val="006B4127"/>
    <w:rsid w:val="006C0035"/>
    <w:rsid w:val="006C40B9"/>
    <w:rsid w:val="006D5592"/>
    <w:rsid w:val="006E678B"/>
    <w:rsid w:val="006F39DB"/>
    <w:rsid w:val="007170AA"/>
    <w:rsid w:val="00732A46"/>
    <w:rsid w:val="00732B66"/>
    <w:rsid w:val="00734C50"/>
    <w:rsid w:val="007406DE"/>
    <w:rsid w:val="00743A75"/>
    <w:rsid w:val="00743E79"/>
    <w:rsid w:val="00751C37"/>
    <w:rsid w:val="0076491D"/>
    <w:rsid w:val="007757F3"/>
    <w:rsid w:val="007815DC"/>
    <w:rsid w:val="00781884"/>
    <w:rsid w:val="00782659"/>
    <w:rsid w:val="007840B6"/>
    <w:rsid w:val="007A47FB"/>
    <w:rsid w:val="007A69EB"/>
    <w:rsid w:val="007B106B"/>
    <w:rsid w:val="007B275D"/>
    <w:rsid w:val="007E6AEB"/>
    <w:rsid w:val="007F01EC"/>
    <w:rsid w:val="007F7DF2"/>
    <w:rsid w:val="008062F9"/>
    <w:rsid w:val="008079FA"/>
    <w:rsid w:val="00823B24"/>
    <w:rsid w:val="00825ACF"/>
    <w:rsid w:val="00851943"/>
    <w:rsid w:val="0086271A"/>
    <w:rsid w:val="00864902"/>
    <w:rsid w:val="008973EE"/>
    <w:rsid w:val="008B30A0"/>
    <w:rsid w:val="008D089D"/>
    <w:rsid w:val="008D2FB6"/>
    <w:rsid w:val="008F0B04"/>
    <w:rsid w:val="0090443B"/>
    <w:rsid w:val="0090649C"/>
    <w:rsid w:val="00921A9D"/>
    <w:rsid w:val="009250D3"/>
    <w:rsid w:val="00930694"/>
    <w:rsid w:val="0093521F"/>
    <w:rsid w:val="00945677"/>
    <w:rsid w:val="009511C4"/>
    <w:rsid w:val="00962F78"/>
    <w:rsid w:val="0096609F"/>
    <w:rsid w:val="00971600"/>
    <w:rsid w:val="00984A1F"/>
    <w:rsid w:val="009973B4"/>
    <w:rsid w:val="009A4562"/>
    <w:rsid w:val="009B6CB4"/>
    <w:rsid w:val="009C332C"/>
    <w:rsid w:val="009D6DFB"/>
    <w:rsid w:val="009E30DA"/>
    <w:rsid w:val="009F5F17"/>
    <w:rsid w:val="009F7EED"/>
    <w:rsid w:val="00A01234"/>
    <w:rsid w:val="00A138EC"/>
    <w:rsid w:val="00A3113F"/>
    <w:rsid w:val="00A32311"/>
    <w:rsid w:val="00A35FBB"/>
    <w:rsid w:val="00A40CCC"/>
    <w:rsid w:val="00A4327B"/>
    <w:rsid w:val="00A54E47"/>
    <w:rsid w:val="00A731A4"/>
    <w:rsid w:val="00A801DE"/>
    <w:rsid w:val="00A8159C"/>
    <w:rsid w:val="00A83562"/>
    <w:rsid w:val="00A85C9C"/>
    <w:rsid w:val="00A86A9D"/>
    <w:rsid w:val="00A90A22"/>
    <w:rsid w:val="00AA2E7E"/>
    <w:rsid w:val="00AB1BBD"/>
    <w:rsid w:val="00AB41FC"/>
    <w:rsid w:val="00AB7D2F"/>
    <w:rsid w:val="00AC0FC6"/>
    <w:rsid w:val="00AE4426"/>
    <w:rsid w:val="00AF0AAB"/>
    <w:rsid w:val="00AF2F25"/>
    <w:rsid w:val="00B04731"/>
    <w:rsid w:val="00B0685B"/>
    <w:rsid w:val="00B40603"/>
    <w:rsid w:val="00B66466"/>
    <w:rsid w:val="00B7283C"/>
    <w:rsid w:val="00B74396"/>
    <w:rsid w:val="00B8202D"/>
    <w:rsid w:val="00B94ED3"/>
    <w:rsid w:val="00B95F69"/>
    <w:rsid w:val="00BB57AB"/>
    <w:rsid w:val="00BC0E45"/>
    <w:rsid w:val="00BC2015"/>
    <w:rsid w:val="00BC5CD9"/>
    <w:rsid w:val="00BD1BD9"/>
    <w:rsid w:val="00BF3FAF"/>
    <w:rsid w:val="00BF597E"/>
    <w:rsid w:val="00BF7151"/>
    <w:rsid w:val="00C21A91"/>
    <w:rsid w:val="00C248B4"/>
    <w:rsid w:val="00C31C73"/>
    <w:rsid w:val="00C51A36"/>
    <w:rsid w:val="00C548BE"/>
    <w:rsid w:val="00C55228"/>
    <w:rsid w:val="00C67E19"/>
    <w:rsid w:val="00C67E47"/>
    <w:rsid w:val="00C71E85"/>
    <w:rsid w:val="00C86F9B"/>
    <w:rsid w:val="00C93DAB"/>
    <w:rsid w:val="00C9448F"/>
    <w:rsid w:val="00C95231"/>
    <w:rsid w:val="00C965D4"/>
    <w:rsid w:val="00CB0BB0"/>
    <w:rsid w:val="00CB1030"/>
    <w:rsid w:val="00CB260B"/>
    <w:rsid w:val="00CC23FB"/>
    <w:rsid w:val="00CD52FC"/>
    <w:rsid w:val="00CE084D"/>
    <w:rsid w:val="00CE315A"/>
    <w:rsid w:val="00CE7BE1"/>
    <w:rsid w:val="00CF1726"/>
    <w:rsid w:val="00CF1D15"/>
    <w:rsid w:val="00CF34E3"/>
    <w:rsid w:val="00CF6C5C"/>
    <w:rsid w:val="00D01731"/>
    <w:rsid w:val="00D06F59"/>
    <w:rsid w:val="00D12B63"/>
    <w:rsid w:val="00D257EB"/>
    <w:rsid w:val="00D3392D"/>
    <w:rsid w:val="00D44086"/>
    <w:rsid w:val="00D55E69"/>
    <w:rsid w:val="00D562F6"/>
    <w:rsid w:val="00D6234E"/>
    <w:rsid w:val="00D63250"/>
    <w:rsid w:val="00D8388C"/>
    <w:rsid w:val="00D95C39"/>
    <w:rsid w:val="00D95E05"/>
    <w:rsid w:val="00DB6D65"/>
    <w:rsid w:val="00DB6F87"/>
    <w:rsid w:val="00DC261B"/>
    <w:rsid w:val="00DC5042"/>
    <w:rsid w:val="00DD6AE9"/>
    <w:rsid w:val="00DE2D80"/>
    <w:rsid w:val="00DE6542"/>
    <w:rsid w:val="00DF3227"/>
    <w:rsid w:val="00DF689E"/>
    <w:rsid w:val="00E038E4"/>
    <w:rsid w:val="00E04474"/>
    <w:rsid w:val="00E27F55"/>
    <w:rsid w:val="00E43822"/>
    <w:rsid w:val="00E456D2"/>
    <w:rsid w:val="00E63714"/>
    <w:rsid w:val="00E65DB7"/>
    <w:rsid w:val="00E94056"/>
    <w:rsid w:val="00E9727C"/>
    <w:rsid w:val="00E97424"/>
    <w:rsid w:val="00EA55F7"/>
    <w:rsid w:val="00EA7C25"/>
    <w:rsid w:val="00EB0164"/>
    <w:rsid w:val="00EC42F5"/>
    <w:rsid w:val="00ED0F62"/>
    <w:rsid w:val="00ED2B22"/>
    <w:rsid w:val="00EE07A4"/>
    <w:rsid w:val="00EF4C6D"/>
    <w:rsid w:val="00F164F3"/>
    <w:rsid w:val="00F26299"/>
    <w:rsid w:val="00F42D4A"/>
    <w:rsid w:val="00F53331"/>
    <w:rsid w:val="00F606E1"/>
    <w:rsid w:val="00F83639"/>
    <w:rsid w:val="00F840C3"/>
    <w:rsid w:val="00F937DF"/>
    <w:rsid w:val="00F956F5"/>
    <w:rsid w:val="00FA0833"/>
    <w:rsid w:val="00FA350D"/>
    <w:rsid w:val="00FC50D3"/>
    <w:rsid w:val="00FC712F"/>
    <w:rsid w:val="00FD2869"/>
    <w:rsid w:val="00FD5EE5"/>
    <w:rsid w:val="00FD72A6"/>
    <w:rsid w:val="00FE2C5C"/>
    <w:rsid w:val="04B566A1"/>
    <w:rsid w:val="04F30DA8"/>
    <w:rsid w:val="06724277"/>
    <w:rsid w:val="108219C2"/>
    <w:rsid w:val="15F10DAA"/>
    <w:rsid w:val="209010E2"/>
    <w:rsid w:val="25350F5C"/>
    <w:rsid w:val="2EEF1189"/>
    <w:rsid w:val="32414AA1"/>
    <w:rsid w:val="438F113C"/>
    <w:rsid w:val="453E6FD6"/>
    <w:rsid w:val="48B656B8"/>
    <w:rsid w:val="493A42BB"/>
    <w:rsid w:val="4AE46785"/>
    <w:rsid w:val="4E53305C"/>
    <w:rsid w:val="4F840833"/>
    <w:rsid w:val="50A30FBB"/>
    <w:rsid w:val="52A15607"/>
    <w:rsid w:val="54BE4EB4"/>
    <w:rsid w:val="5AE54B2F"/>
    <w:rsid w:val="5EA12B9A"/>
    <w:rsid w:val="7808380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2">
    <w:name w:val="heading 2"/>
    <w:basedOn w:val="1"/>
    <w:next w:val="3"/>
    <w:qFormat/>
    <w:uiPriority w:val="0"/>
    <w:pPr>
      <w:keepNext/>
      <w:tabs>
        <w:tab w:val="left" w:pos="3510"/>
        <w:tab w:val="left" w:pos="3585"/>
        <w:tab w:val="center" w:pos="4410"/>
        <w:tab w:val="left" w:pos="4620"/>
        <w:tab w:val="left" w:pos="4830"/>
        <w:tab w:val="left" w:pos="5580"/>
      </w:tabs>
      <w:outlineLvl w:val="1"/>
    </w:pPr>
    <w:rPr>
      <w:b/>
      <w:bCs/>
      <w:sz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adjustRightInd w:val="0"/>
      <w:spacing w:line="360" w:lineRule="atLeast"/>
      <w:ind w:left="480"/>
      <w:textAlignment w:val="baseline"/>
    </w:pPr>
    <w:rPr>
      <w:kern w:val="0"/>
    </w:rPr>
  </w:style>
  <w:style w:type="paragraph" w:styleId="4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unhideWhenUsed/>
    <w:qFormat/>
    <w:uiPriority w:val="99"/>
    <w:rPr>
      <w:rFonts w:cs="Times New Roman"/>
      <w:color w:val="000000"/>
      <w:kern w:val="0"/>
      <w:szCs w:val="24"/>
    </w:rPr>
  </w:style>
  <w:style w:type="character" w:styleId="10">
    <w:name w:val="page number"/>
    <w:basedOn w:val="9"/>
    <w:qFormat/>
    <w:uiPriority w:val="0"/>
  </w:style>
  <w:style w:type="character" w:customStyle="1" w:styleId="11">
    <w:name w:val="页眉 Char"/>
    <w:basedOn w:val="9"/>
    <w:link w:val="6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2">
    <w:name w:val="页脚 Char"/>
    <w:basedOn w:val="9"/>
    <w:link w:val="5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3">
    <w:name w:val="批注框文本 Char"/>
    <w:basedOn w:val="9"/>
    <w:link w:val="4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4">
    <w:name w:val="Char Char1"/>
    <w:qFormat/>
    <w:locked/>
    <w:uiPriority w:val="0"/>
    <w:rPr>
      <w:rFonts w:hint="eastAsia" w:ascii="宋体" w:hAnsi="Courier New" w:eastAsia="宋体"/>
      <w:kern w:val="2"/>
      <w:sz w:val="21"/>
      <w:lang w:val="en-US" w:eastAsia="zh-CN" w:bidi="ar-SA"/>
    </w:rPr>
  </w:style>
  <w:style w:type="paragraph" w:styleId="15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3.wmf"/><Relationship Id="rId7" Type="http://schemas.openxmlformats.org/officeDocument/2006/relationships/oleObject" Target="embeddings/oleObject1.bin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9.jpeg"/><Relationship Id="rId14" Type="http://schemas.openxmlformats.org/officeDocument/2006/relationships/image" Target="media/image8.jpeg"/><Relationship Id="rId13" Type="http://schemas.openxmlformats.org/officeDocument/2006/relationships/image" Target="media/image7.jpeg"/><Relationship Id="rId12" Type="http://schemas.openxmlformats.org/officeDocument/2006/relationships/image" Target="media/image6.jpeg"/><Relationship Id="rId11" Type="http://schemas.openxmlformats.org/officeDocument/2006/relationships/image" Target="media/image5.jpeg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1102</Words>
  <Characters>6288</Characters>
  <Lines>52</Lines>
  <Paragraphs>14</Paragraphs>
  <TotalTime>1</TotalTime>
  <ScaleCrop>false</ScaleCrop>
  <LinksUpToDate>false</LinksUpToDate>
  <CharactersWithSpaces>7376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2015-06-17T12:51:00Z</dcterms:created>
  <dc:creator>微软用户</dc:creator>
  <cp:lastModifiedBy>LIL</cp:lastModifiedBy>
  <dcterms:modified xsi:type="dcterms:W3CDTF">2020-08-16T23:47:42Z</dcterms:modified>
  <cp:revision>370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